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8688A" w14:textId="5EA577F0" w:rsidR="00830EEF" w:rsidRPr="00001E08"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001E08">
        <w:rPr>
          <w:rFonts w:ascii="Arial" w:eastAsiaTheme="minorEastAsia" w:hAnsi="Arial" w:cs="Arial" w:hint="eastAsia"/>
          <w:b/>
          <w:sz w:val="22"/>
          <w:szCs w:val="22"/>
          <w:lang w:eastAsia="zh-CN"/>
        </w:rPr>
        <w:t>6</w:t>
      </w:r>
      <w:r w:rsidR="00F62330">
        <w:rPr>
          <w:rFonts w:ascii="Arial" w:eastAsiaTheme="minorEastAsia" w:hAnsi="Arial" w:cs="Arial"/>
          <w:b/>
          <w:sz w:val="22"/>
          <w:szCs w:val="22"/>
          <w:lang w:eastAsia="zh-CN"/>
        </w:rPr>
        <w:t>bis</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w:t>
      </w:r>
      <w:r w:rsidR="002E15F1" w:rsidRPr="00830EEF">
        <w:rPr>
          <w:rFonts w:ascii="Arial" w:hAnsi="Arial" w:cs="Arial"/>
          <w:b/>
          <w:sz w:val="22"/>
          <w:szCs w:val="22"/>
        </w:rPr>
        <w:t>2</w:t>
      </w:r>
      <w:r w:rsidR="002E15F1">
        <w:rPr>
          <w:rFonts w:ascii="Arial" w:hAnsi="Arial" w:cs="Arial"/>
          <w:b/>
          <w:sz w:val="22"/>
          <w:szCs w:val="22"/>
        </w:rPr>
        <w:t>5</w:t>
      </w:r>
      <w:r w:rsidR="00E57983">
        <w:rPr>
          <w:rFonts w:ascii="Arial" w:hAnsi="Arial" w:cs="Arial"/>
          <w:b/>
          <w:sz w:val="22"/>
          <w:szCs w:val="22"/>
        </w:rPr>
        <w:t>1</w:t>
      </w:r>
      <w:r w:rsidR="00E57983" w:rsidRPr="00E57983">
        <w:rPr>
          <w:rFonts w:ascii="Arial" w:hAnsi="Arial" w:cs="Arial"/>
          <w:b/>
          <w:sz w:val="22"/>
          <w:szCs w:val="22"/>
        </w:rPr>
        <w:t>31</w:t>
      </w:r>
      <w:r w:rsidR="00526B4B">
        <w:rPr>
          <w:rFonts w:ascii="Arial" w:hAnsi="Arial" w:cs="Arial"/>
          <w:b/>
          <w:sz w:val="22"/>
          <w:szCs w:val="22"/>
        </w:rPr>
        <w:t>76</w:t>
      </w:r>
    </w:p>
    <w:p w14:paraId="0A9F36F3" w14:textId="57FC6400" w:rsidR="00830EEF" w:rsidRPr="00830EEF" w:rsidRDefault="00F62330" w:rsidP="00830EEF">
      <w:pPr>
        <w:widowControl w:val="0"/>
        <w:spacing w:after="0"/>
        <w:rPr>
          <w:rFonts w:ascii="Arial" w:hAnsi="Arial"/>
          <w:b/>
          <w:noProof/>
          <w:sz w:val="22"/>
          <w:szCs w:val="22"/>
        </w:rPr>
      </w:pPr>
      <w:r>
        <w:rPr>
          <w:rFonts w:ascii="Arial" w:eastAsiaTheme="minorEastAsia" w:hAnsi="Arial"/>
          <w:b/>
          <w:noProof/>
          <w:sz w:val="22"/>
          <w:szCs w:val="22"/>
          <w:lang w:eastAsia="zh-CN"/>
        </w:rPr>
        <w:t>Prague</w:t>
      </w:r>
      <w:r>
        <w:rPr>
          <w:rFonts w:ascii="Arial" w:hAnsi="Arial"/>
          <w:b/>
          <w:noProof/>
          <w:sz w:val="22"/>
          <w:szCs w:val="22"/>
        </w:rPr>
        <w:t xml:space="preserve">, </w:t>
      </w:r>
      <w:r>
        <w:rPr>
          <w:rFonts w:ascii="Arial" w:eastAsiaTheme="minorEastAsia" w:hAnsi="Arial"/>
          <w:b/>
          <w:noProof/>
          <w:sz w:val="22"/>
          <w:szCs w:val="22"/>
          <w:lang w:eastAsia="zh-CN"/>
        </w:rPr>
        <w:t>Czech</w:t>
      </w:r>
      <w:r w:rsidRPr="00830EEF">
        <w:rPr>
          <w:rFonts w:ascii="Arial" w:hAnsi="Arial"/>
          <w:b/>
          <w:noProof/>
          <w:sz w:val="22"/>
          <w:szCs w:val="22"/>
        </w:rPr>
        <w:t xml:space="preserve">, </w:t>
      </w:r>
      <w:r>
        <w:rPr>
          <w:rFonts w:ascii="Arial" w:eastAsiaTheme="minorEastAsia" w:hAnsi="Arial"/>
          <w:b/>
          <w:noProof/>
          <w:sz w:val="22"/>
          <w:szCs w:val="22"/>
          <w:lang w:eastAsia="zh-CN"/>
        </w:rPr>
        <w:t>October</w:t>
      </w:r>
      <w:r w:rsidRPr="00830EEF">
        <w:rPr>
          <w:rFonts w:ascii="Arial" w:hAnsi="Arial"/>
          <w:b/>
          <w:noProof/>
          <w:sz w:val="22"/>
          <w:szCs w:val="22"/>
        </w:rPr>
        <w:t xml:space="preserve"> </w:t>
      </w:r>
      <w:r>
        <w:rPr>
          <w:rFonts w:ascii="Arial" w:hAnsi="Arial"/>
          <w:b/>
          <w:noProof/>
          <w:sz w:val="22"/>
          <w:szCs w:val="22"/>
        </w:rPr>
        <w:t>13</w:t>
      </w:r>
      <w:r w:rsidRPr="00830EEF">
        <w:rPr>
          <w:rFonts w:ascii="Arial" w:hAnsi="Arial"/>
          <w:b/>
          <w:noProof/>
          <w:sz w:val="22"/>
          <w:szCs w:val="22"/>
          <w:vertAlign w:val="superscript"/>
        </w:rPr>
        <w:t>th</w:t>
      </w:r>
      <w:r w:rsidRPr="00830EEF">
        <w:rPr>
          <w:rFonts w:ascii="Arial" w:hAnsi="Arial"/>
          <w:b/>
          <w:noProof/>
          <w:sz w:val="22"/>
          <w:szCs w:val="22"/>
        </w:rPr>
        <w:t xml:space="preserve"> – </w:t>
      </w:r>
      <w:r>
        <w:rPr>
          <w:rFonts w:ascii="Arial" w:hAnsi="Arial"/>
          <w:b/>
          <w:noProof/>
          <w:sz w:val="22"/>
          <w:szCs w:val="22"/>
        </w:rPr>
        <w:t>17</w:t>
      </w:r>
      <w:r>
        <w:rPr>
          <w:rFonts w:ascii="Arial" w:eastAsiaTheme="minorEastAsia" w:hAnsi="Arial"/>
          <w:b/>
          <w:noProof/>
          <w:sz w:val="22"/>
          <w:szCs w:val="22"/>
          <w:vertAlign w:val="superscript"/>
          <w:lang w:eastAsia="zh-CN"/>
        </w:rPr>
        <w:t>th</w:t>
      </w:r>
      <w:r w:rsidRPr="00830EEF">
        <w:rPr>
          <w:rFonts w:ascii="Arial" w:hAnsi="Arial"/>
          <w:b/>
          <w:noProof/>
          <w:sz w:val="22"/>
          <w:szCs w:val="22"/>
        </w:rPr>
        <w:t xml:space="preserve"> , 202</w:t>
      </w:r>
      <w:r>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3D9EF458"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526B4B" w:rsidRPr="00526B4B">
        <w:rPr>
          <w:rFonts w:ascii="Arial" w:hAnsi="Arial" w:cs="Arial"/>
          <w:b/>
          <w:sz w:val="22"/>
        </w:rPr>
        <w:t>Discussion on R20 low bands CA via switching</w:t>
      </w:r>
    </w:p>
    <w:p w14:paraId="73AD8CE3" w14:textId="114876D2"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23D23">
        <w:rPr>
          <w:rFonts w:ascii="Arial" w:eastAsiaTheme="minorEastAsia" w:hAnsi="Arial" w:cs="Arial"/>
          <w:b/>
          <w:sz w:val="22"/>
          <w:lang w:eastAsia="zh-CN"/>
        </w:rPr>
        <w:t>7</w:t>
      </w:r>
      <w:r w:rsidR="00E57983">
        <w:rPr>
          <w:rFonts w:ascii="Arial" w:eastAsiaTheme="minorEastAsia" w:hAnsi="Arial" w:cs="Arial"/>
          <w:b/>
          <w:sz w:val="22"/>
          <w:lang w:eastAsia="zh-CN"/>
        </w:rPr>
        <w:t>.8.</w:t>
      </w:r>
      <w:r w:rsidR="00823D23">
        <w:rPr>
          <w:rFonts w:ascii="Arial" w:eastAsiaTheme="minorEastAsia" w:hAnsi="Arial" w:cs="Arial"/>
          <w:b/>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71513429" w14:textId="06D0BFC8" w:rsidR="004D299A" w:rsidRDefault="00103E58" w:rsidP="007A14B8">
      <w:pPr>
        <w:pStyle w:val="B1"/>
        <w:ind w:left="0" w:firstLine="0"/>
        <w:rPr>
          <w:rFonts w:eastAsiaTheme="minorEastAsia"/>
          <w:sz w:val="24"/>
          <w:szCs w:val="24"/>
          <w:lang w:eastAsia="zh-CN"/>
        </w:rPr>
      </w:pPr>
      <w:r>
        <w:rPr>
          <w:rFonts w:eastAsiaTheme="minorEastAsia" w:hint="eastAsia"/>
          <w:sz w:val="24"/>
          <w:szCs w:val="24"/>
          <w:lang w:eastAsia="zh-CN"/>
        </w:rPr>
        <w:t>In th</w:t>
      </w:r>
      <w:r w:rsidR="004D299A">
        <w:rPr>
          <w:rFonts w:eastAsiaTheme="minorEastAsia"/>
          <w:sz w:val="24"/>
          <w:szCs w:val="24"/>
          <w:lang w:eastAsia="zh-CN"/>
        </w:rPr>
        <w:t>e RAN#109 meeting, a new WID [1] was approved as one of R20 RAN4 5G-A package. The objectives are listed below.</w:t>
      </w:r>
    </w:p>
    <w:tbl>
      <w:tblPr>
        <w:tblStyle w:val="a6"/>
        <w:tblW w:w="0" w:type="auto"/>
        <w:tblLook w:val="04A0" w:firstRow="1" w:lastRow="0" w:firstColumn="1" w:lastColumn="0" w:noHBand="0" w:noVBand="1"/>
      </w:tblPr>
      <w:tblGrid>
        <w:gridCol w:w="10683"/>
      </w:tblGrid>
      <w:tr w:rsidR="004D299A" w14:paraId="3CFA1CF8" w14:textId="77777777" w:rsidTr="004D299A">
        <w:tc>
          <w:tcPr>
            <w:tcW w:w="10683" w:type="dxa"/>
          </w:tcPr>
          <w:p w14:paraId="357036CA" w14:textId="77777777" w:rsidR="004D299A" w:rsidRDefault="004D299A" w:rsidP="004D299A">
            <w:pPr>
              <w:rPr>
                <w:b/>
                <w:bCs/>
                <w:iCs/>
              </w:rPr>
            </w:pPr>
            <w:r>
              <w:rPr>
                <w:b/>
                <w:bCs/>
                <w:iCs/>
              </w:rPr>
              <w:t>The core part of WI:</w:t>
            </w:r>
          </w:p>
          <w:p w14:paraId="2CF2A4F2" w14:textId="77777777" w:rsidR="004D299A" w:rsidRDefault="004D299A" w:rsidP="004D299A">
            <w:pPr>
              <w:pStyle w:val="af"/>
              <w:widowControl w:val="0"/>
              <w:numPr>
                <w:ilvl w:val="0"/>
                <w:numId w:val="42"/>
              </w:numPr>
              <w:overflowPunct/>
              <w:autoSpaceDE/>
              <w:autoSpaceDN/>
              <w:adjustRightInd/>
              <w:spacing w:after="0"/>
              <w:ind w:firstLineChars="0"/>
              <w:jc w:val="both"/>
              <w:textAlignment w:val="auto"/>
              <w:rPr>
                <w:color w:val="000000" w:themeColor="text1"/>
              </w:rPr>
            </w:pPr>
            <w:r>
              <w:rPr>
                <w:color w:val="000000" w:themeColor="text1"/>
              </w:rPr>
              <w:t>Specify the necessary UE RF and RRM core requirements to allow switching between {case 1, case 3} to enable low band carrier aggregation via switching for the dual downlink scenario between FDD band and SDL band [RAN4].</w:t>
            </w:r>
          </w:p>
          <w:p w14:paraId="73AEAF47" w14:textId="77777777" w:rsidR="004D299A" w:rsidRDefault="004D299A" w:rsidP="004D299A">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Case 1: Tx/Rx on FDD carrier 1 and no Rx on SDL carrier 2.</w:t>
            </w:r>
          </w:p>
          <w:p w14:paraId="0F872F0E" w14:textId="77777777" w:rsidR="004D299A" w:rsidRDefault="004D299A" w:rsidP="004D299A">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Case 3: Rx on both FDD carrier 1 and SDL carrier 2 and no Tx on FDD carrier 1.</w:t>
            </w:r>
          </w:p>
          <w:p w14:paraId="5024F417" w14:textId="77777777" w:rsidR="004D299A" w:rsidRDefault="004D299A" w:rsidP="004D299A">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Example band combinations: CA_n12A-n29A and CA_n28A-n67A, additional FDD+SDL band combinations can be added in the specific basket WI after this WI is completed.</w:t>
            </w:r>
          </w:p>
          <w:p w14:paraId="34B5058D" w14:textId="77777777" w:rsidR="004D299A" w:rsidRDefault="004D299A" w:rsidP="004D299A">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Reuse the time mask requirements defined in Rel-19 for low-band CA via switching as much as possible</w:t>
            </w:r>
          </w:p>
          <w:p w14:paraId="1FA2BAFB" w14:textId="77777777" w:rsidR="004D299A" w:rsidRDefault="004D299A" w:rsidP="004D299A">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Note: Case 2 is specified in Rel-19 WID of NR_LBCA_Sw</w:t>
            </w:r>
          </w:p>
          <w:p w14:paraId="40EBF0F9" w14:textId="77777777" w:rsidR="004D299A" w:rsidRDefault="004D299A" w:rsidP="004D299A">
            <w:pPr>
              <w:pStyle w:val="af"/>
              <w:widowControl w:val="0"/>
              <w:numPr>
                <w:ilvl w:val="0"/>
                <w:numId w:val="42"/>
              </w:numPr>
              <w:overflowPunct/>
              <w:autoSpaceDE/>
              <w:autoSpaceDN/>
              <w:adjustRightInd/>
              <w:spacing w:after="0"/>
              <w:ind w:firstLineChars="0"/>
              <w:jc w:val="both"/>
              <w:textAlignment w:val="auto"/>
              <w:rPr>
                <w:color w:val="000000" w:themeColor="text1"/>
              </w:rPr>
            </w:pPr>
            <w:r>
              <w:rPr>
                <w:color w:val="000000" w:themeColor="text1"/>
              </w:rPr>
              <w:t>Reuse the semi-static switching mechanism based on RRC configuration defined in Rel-19 for low-band CA via switching</w:t>
            </w:r>
          </w:p>
          <w:p w14:paraId="3688465E" w14:textId="77777777" w:rsidR="004D299A" w:rsidRDefault="004D299A" w:rsidP="004D299A">
            <w:pPr>
              <w:pStyle w:val="af"/>
              <w:widowControl w:val="0"/>
              <w:numPr>
                <w:ilvl w:val="0"/>
                <w:numId w:val="42"/>
              </w:numPr>
              <w:overflowPunct/>
              <w:autoSpaceDE/>
              <w:autoSpaceDN/>
              <w:adjustRightInd/>
              <w:spacing w:after="0"/>
              <w:ind w:firstLineChars="0"/>
              <w:jc w:val="both"/>
              <w:textAlignment w:val="auto"/>
              <w:rPr>
                <w:color w:val="000000" w:themeColor="text1"/>
              </w:rPr>
            </w:pPr>
            <w:r>
              <w:rPr>
                <w:color w:val="000000" w:themeColor="text1"/>
              </w:rPr>
              <w:t xml:space="preserve">Consider the following deployment constraints: </w:t>
            </w:r>
          </w:p>
          <w:p w14:paraId="250049AF" w14:textId="77777777" w:rsidR="004D299A" w:rsidRDefault="004D299A" w:rsidP="004D299A">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The carrier frequency for all cases is &lt;1GHz.</w:t>
            </w:r>
          </w:p>
          <w:p w14:paraId="171787A2" w14:textId="77777777" w:rsidR="004D299A" w:rsidRDefault="004D299A" w:rsidP="004D299A">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Co-located and synchronized network deployment for both carriers.</w:t>
            </w:r>
          </w:p>
          <w:p w14:paraId="7CBB0925" w14:textId="77777777" w:rsidR="004D299A" w:rsidRDefault="004D299A" w:rsidP="004D299A">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Both carriers are in a single TAG.</w:t>
            </w:r>
          </w:p>
          <w:p w14:paraId="2E5AD298" w14:textId="77777777" w:rsidR="004D299A" w:rsidRDefault="004D299A" w:rsidP="004D299A">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SCS 15Khz on both carriers.</w:t>
            </w:r>
          </w:p>
          <w:p w14:paraId="6D4DD853" w14:textId="77777777" w:rsidR="004D299A" w:rsidRDefault="004D299A" w:rsidP="004D299A">
            <w:pPr>
              <w:pStyle w:val="af"/>
              <w:widowControl w:val="0"/>
              <w:numPr>
                <w:ilvl w:val="1"/>
                <w:numId w:val="42"/>
              </w:numPr>
              <w:overflowPunct/>
              <w:autoSpaceDE/>
              <w:autoSpaceDN/>
              <w:adjustRightInd/>
              <w:spacing w:after="0"/>
              <w:ind w:left="993" w:firstLineChars="0"/>
              <w:jc w:val="both"/>
              <w:textAlignment w:val="auto"/>
              <w:rPr>
                <w:color w:val="000000" w:themeColor="text1"/>
              </w:rPr>
            </w:pPr>
            <w:r>
              <w:rPr>
                <w:color w:val="000000" w:themeColor="text1"/>
              </w:rPr>
              <w:t>No in-gap interference between DL carriers is expected</w:t>
            </w:r>
          </w:p>
          <w:p w14:paraId="6BC3434F" w14:textId="112D3834" w:rsidR="004D299A" w:rsidRPr="004D299A" w:rsidRDefault="004D299A" w:rsidP="004D299A">
            <w:pPr>
              <w:pStyle w:val="af"/>
              <w:ind w:left="442" w:firstLineChars="0" w:firstLine="0"/>
              <w:rPr>
                <w:color w:val="000000" w:themeColor="text1"/>
              </w:rPr>
            </w:pPr>
            <w:r>
              <w:rPr>
                <w:color w:val="000000" w:themeColor="text1"/>
              </w:rPr>
              <w:t>Note 1: Reuse Rel-19 LB-CA RAN4 requirements as much as possible.</w:t>
            </w:r>
          </w:p>
        </w:tc>
      </w:tr>
    </w:tbl>
    <w:p w14:paraId="115A1F05" w14:textId="77777777" w:rsidR="004D299A" w:rsidRDefault="004D299A" w:rsidP="007A14B8">
      <w:pPr>
        <w:pStyle w:val="B1"/>
        <w:ind w:left="0" w:firstLine="0"/>
        <w:rPr>
          <w:rFonts w:eastAsiaTheme="minorEastAsia"/>
          <w:sz w:val="24"/>
          <w:szCs w:val="24"/>
          <w:lang w:eastAsia="zh-CN"/>
        </w:rPr>
      </w:pPr>
    </w:p>
    <w:p w14:paraId="7FD9DF23" w14:textId="2AD2A47A" w:rsidR="004D299A" w:rsidRDefault="004D299A"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this paper, we’d like to discuss the potential RF architecture which enable the switching between UL/DL FDD band and Dual-DL FDD+SDL bands</w:t>
      </w:r>
      <w:r w:rsidR="00103E7A">
        <w:rPr>
          <w:rFonts w:eastAsiaTheme="minorEastAsia"/>
          <w:sz w:val="24"/>
          <w:szCs w:val="24"/>
          <w:lang w:eastAsia="zh-CN"/>
        </w:rPr>
        <w:t xml:space="preserve"> and potential requirements</w:t>
      </w:r>
      <w:r>
        <w:rPr>
          <w:rFonts w:eastAsiaTheme="minorEastAsia"/>
          <w:sz w:val="24"/>
          <w:szCs w:val="24"/>
          <w:lang w:eastAsia="zh-CN"/>
        </w:rPr>
        <w:t>.</w:t>
      </w:r>
    </w:p>
    <w:p w14:paraId="5D172832" w14:textId="6DFCA633" w:rsidR="00EE7307" w:rsidRDefault="00EE7307" w:rsidP="007A14B8">
      <w:pPr>
        <w:pStyle w:val="B1"/>
        <w:ind w:left="0" w:firstLine="0"/>
        <w:rPr>
          <w:rFonts w:eastAsiaTheme="minorEastAsia"/>
          <w:sz w:val="24"/>
          <w:szCs w:val="24"/>
          <w:lang w:eastAsia="zh-CN"/>
        </w:rPr>
      </w:pPr>
    </w:p>
    <w:p w14:paraId="11B3007D" w14:textId="71860E7C" w:rsidR="0073371F" w:rsidRPr="0073371F" w:rsidRDefault="00D80973" w:rsidP="00EE7307">
      <w:pPr>
        <w:pStyle w:val="1"/>
        <w:rPr>
          <w:rFonts w:eastAsiaTheme="minorEastAsia"/>
          <w:b/>
          <w:sz w:val="24"/>
          <w:szCs w:val="24"/>
          <w:lang w:eastAsia="zh-CN"/>
        </w:rPr>
      </w:pPr>
      <w:r>
        <w:t>2</w:t>
      </w:r>
      <w:r w:rsidR="009267C2">
        <w:t xml:space="preserve"> </w:t>
      </w:r>
      <w:r w:rsidR="00103E58">
        <w:rPr>
          <w:rFonts w:eastAsiaTheme="minorEastAsia" w:hint="eastAsia"/>
          <w:lang w:eastAsia="zh-CN"/>
        </w:rPr>
        <w:t>Discussion</w:t>
      </w:r>
    </w:p>
    <w:p w14:paraId="08F2F63C" w14:textId="2A8090AE" w:rsidR="00006D4F" w:rsidRDefault="00006D4F" w:rsidP="00006D4F">
      <w:pPr>
        <w:pStyle w:val="2"/>
        <w:rPr>
          <w:rFonts w:eastAsiaTheme="minorEastAsia"/>
          <w:lang w:eastAsia="zh-CN"/>
        </w:rPr>
      </w:pPr>
      <w:r>
        <w:rPr>
          <w:rFonts w:eastAsiaTheme="minorEastAsia" w:hint="eastAsia"/>
          <w:lang w:eastAsia="zh-CN"/>
        </w:rPr>
        <w:t>2.</w:t>
      </w:r>
      <w:r w:rsidR="00FB44C6">
        <w:rPr>
          <w:rFonts w:eastAsiaTheme="minorEastAsia"/>
          <w:lang w:eastAsia="zh-CN"/>
        </w:rPr>
        <w:t>1</w:t>
      </w:r>
      <w:r>
        <w:rPr>
          <w:rFonts w:eastAsiaTheme="minorEastAsia" w:hint="eastAsia"/>
          <w:lang w:eastAsia="zh-CN"/>
        </w:rPr>
        <w:t xml:space="preserve"> </w:t>
      </w:r>
      <w:r w:rsidR="00103E7A">
        <w:rPr>
          <w:rFonts w:eastAsiaTheme="minorEastAsia"/>
          <w:lang w:eastAsia="zh-CN"/>
        </w:rPr>
        <w:t>RF architecture</w:t>
      </w:r>
      <w:r w:rsidR="00E544B9">
        <w:rPr>
          <w:rFonts w:eastAsiaTheme="minorEastAsia"/>
          <w:lang w:eastAsia="zh-CN"/>
        </w:rPr>
        <w:t xml:space="preserve"> and switching time mask</w:t>
      </w:r>
    </w:p>
    <w:p w14:paraId="43ADB34F" w14:textId="312E4A1F" w:rsidR="00103E7A" w:rsidRPr="00E544B9" w:rsidRDefault="004A4482" w:rsidP="005C249A">
      <w:pPr>
        <w:pStyle w:val="B1"/>
        <w:ind w:left="0" w:firstLine="0"/>
        <w:rPr>
          <w:rFonts w:eastAsiaTheme="minorEastAsia"/>
          <w:sz w:val="24"/>
          <w:szCs w:val="24"/>
          <w:lang w:val="en-US" w:eastAsia="zh-CN"/>
        </w:rPr>
      </w:pPr>
      <w:r>
        <w:rPr>
          <w:rFonts w:eastAsiaTheme="minorEastAsia" w:hint="eastAsia"/>
          <w:sz w:val="24"/>
          <w:szCs w:val="24"/>
          <w:lang w:eastAsia="zh-CN"/>
        </w:rPr>
        <w:t>F</w:t>
      </w:r>
      <w:r>
        <w:rPr>
          <w:rFonts w:eastAsiaTheme="minorEastAsia"/>
          <w:sz w:val="24"/>
          <w:szCs w:val="24"/>
          <w:lang w:eastAsia="zh-CN"/>
        </w:rPr>
        <w:t>or CA_n12A-n29A, the reference RF architecture is illustrated below. The band n29 DL filter will not work together with the UL chain of UL band n12. The on/off switch of DL band n29 can be operated simultaneously together with the on/off switch of band n12 UL chain.</w:t>
      </w:r>
      <w:r w:rsidR="00E544B9">
        <w:rPr>
          <w:rFonts w:eastAsiaTheme="minorEastAsia"/>
          <w:sz w:val="24"/>
          <w:szCs w:val="24"/>
          <w:lang w:eastAsia="zh-CN"/>
        </w:rPr>
        <w:t xml:space="preserve"> It’s noted that one reference RF architecture can be found without any interruption on DL band n12.</w:t>
      </w:r>
    </w:p>
    <w:p w14:paraId="32B91E64" w14:textId="77777777" w:rsidR="004D0C31" w:rsidRDefault="004A4482" w:rsidP="004D0C31">
      <w:pPr>
        <w:pStyle w:val="B1"/>
        <w:keepNext/>
        <w:ind w:left="0" w:firstLine="0"/>
        <w:jc w:val="center"/>
      </w:pPr>
      <w:r>
        <w:rPr>
          <w:rFonts w:eastAsiaTheme="minorEastAsia"/>
          <w:noProof/>
          <w:sz w:val="24"/>
          <w:szCs w:val="24"/>
          <w:lang w:val="en-US" w:eastAsia="zh-CN"/>
        </w:rPr>
        <w:lastRenderedPageBreak/>
        <w:drawing>
          <wp:inline distT="0" distB="0" distL="0" distR="0" wp14:anchorId="2ECA80A5" wp14:editId="035FD60B">
            <wp:extent cx="5199235" cy="5064125"/>
            <wp:effectExtent l="0" t="0" r="190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20 LBCA RF architecture.png"/>
                    <pic:cNvPicPr/>
                  </pic:nvPicPr>
                  <pic:blipFill>
                    <a:blip r:embed="rId8">
                      <a:extLst>
                        <a:ext uri="{28A0092B-C50C-407E-A947-70E740481C1C}">
                          <a14:useLocalDpi xmlns:a14="http://schemas.microsoft.com/office/drawing/2010/main" val="0"/>
                        </a:ext>
                      </a:extLst>
                    </a:blip>
                    <a:stretch>
                      <a:fillRect/>
                    </a:stretch>
                  </pic:blipFill>
                  <pic:spPr>
                    <a:xfrm>
                      <a:off x="0" y="0"/>
                      <a:ext cx="5202014" cy="5066832"/>
                    </a:xfrm>
                    <a:prstGeom prst="rect">
                      <a:avLst/>
                    </a:prstGeom>
                  </pic:spPr>
                </pic:pic>
              </a:graphicData>
            </a:graphic>
          </wp:inline>
        </w:drawing>
      </w:r>
    </w:p>
    <w:p w14:paraId="4E317CFF" w14:textId="5696015E" w:rsidR="004A4482" w:rsidRDefault="004D0C31" w:rsidP="004D0C31">
      <w:pPr>
        <w:pStyle w:val="a3"/>
        <w:rPr>
          <w:rFonts w:eastAsiaTheme="minorEastAsia"/>
          <w:sz w:val="24"/>
          <w:szCs w:val="24"/>
          <w:lang w:eastAsia="zh-CN"/>
        </w:rPr>
      </w:pPr>
      <w:r>
        <w:t xml:space="preserve">Figure </w:t>
      </w:r>
      <w:r>
        <w:fldChar w:fldCharType="begin"/>
      </w:r>
      <w:r>
        <w:instrText xml:space="preserve"> SEQ Figure \* ARABIC </w:instrText>
      </w:r>
      <w:r>
        <w:fldChar w:fldCharType="separate"/>
      </w:r>
      <w:r w:rsidR="00230A0C">
        <w:rPr>
          <w:noProof/>
        </w:rPr>
        <w:t>1</w:t>
      </w:r>
      <w:r>
        <w:fldChar w:fldCharType="end"/>
      </w:r>
      <w:r>
        <w:t xml:space="preserve"> The illustration of reference RF architecture for CA_n12-n29</w:t>
      </w:r>
    </w:p>
    <w:p w14:paraId="09100557" w14:textId="2F36DB6F" w:rsidR="00103E7A" w:rsidRDefault="00C86061" w:rsidP="005C249A">
      <w:pPr>
        <w:pStyle w:val="B1"/>
        <w:ind w:left="0" w:firstLine="0"/>
        <w:rPr>
          <w:sz w:val="24"/>
          <w:szCs w:val="24"/>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1</w:t>
      </w:r>
      <w:r w:rsidRPr="00422E4B">
        <w:rPr>
          <w:rFonts w:eastAsiaTheme="minorEastAsia" w:hint="eastAsia"/>
          <w:b/>
          <w:sz w:val="24"/>
          <w:szCs w:val="24"/>
          <w:lang w:eastAsia="zh-CN"/>
        </w:rPr>
        <w:t>:</w:t>
      </w:r>
      <w:r>
        <w:rPr>
          <w:rFonts w:eastAsiaTheme="minorEastAsia"/>
          <w:b/>
          <w:sz w:val="24"/>
          <w:szCs w:val="24"/>
          <w:lang w:eastAsia="zh-CN"/>
        </w:rPr>
        <w:t xml:space="preserve"> The </w:t>
      </w:r>
      <w:r w:rsidRPr="00C86061">
        <w:rPr>
          <w:rFonts w:eastAsiaTheme="minorEastAsia"/>
          <w:b/>
          <w:sz w:val="24"/>
          <w:szCs w:val="24"/>
          <w:lang w:eastAsia="zh-CN"/>
        </w:rPr>
        <w:t>reference RF architecture for CA_n12-n29</w:t>
      </w:r>
      <w:r>
        <w:rPr>
          <w:rFonts w:eastAsiaTheme="minorEastAsia"/>
          <w:b/>
          <w:sz w:val="24"/>
          <w:szCs w:val="24"/>
          <w:lang w:eastAsia="zh-CN"/>
        </w:rPr>
        <w:t xml:space="preserve"> shown in the figure</w:t>
      </w:r>
      <w:r w:rsidR="00230A0C">
        <w:rPr>
          <w:rFonts w:eastAsiaTheme="minorEastAsia"/>
          <w:b/>
          <w:sz w:val="24"/>
          <w:szCs w:val="24"/>
          <w:lang w:eastAsia="zh-CN"/>
        </w:rPr>
        <w:t xml:space="preserve"> 1</w:t>
      </w:r>
      <w:r>
        <w:rPr>
          <w:rFonts w:eastAsiaTheme="minorEastAsia"/>
          <w:b/>
          <w:sz w:val="24"/>
          <w:szCs w:val="24"/>
          <w:lang w:eastAsia="zh-CN"/>
        </w:rPr>
        <w:t xml:space="preserve"> can be considered for the discussion.</w:t>
      </w:r>
    </w:p>
    <w:p w14:paraId="64BEB86A" w14:textId="77777777" w:rsidR="00C86061" w:rsidRDefault="00BE2B50" w:rsidP="00C86061">
      <w:pPr>
        <w:pStyle w:val="B1"/>
        <w:keepNext/>
        <w:ind w:left="0" w:firstLine="0"/>
      </w:pPr>
      <w:r>
        <w:rPr>
          <w:noProof/>
          <w:sz w:val="24"/>
          <w:szCs w:val="24"/>
          <w:lang w:val="en-US" w:eastAsia="zh-CN"/>
        </w:rPr>
        <w:drawing>
          <wp:inline distT="0" distB="0" distL="0" distR="0" wp14:anchorId="292B299D" wp14:editId="14B6079D">
            <wp:extent cx="6646545" cy="1200150"/>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20 LBCA switching time mask.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646545" cy="1200150"/>
                    </a:xfrm>
                    <a:prstGeom prst="rect">
                      <a:avLst/>
                    </a:prstGeom>
                  </pic:spPr>
                </pic:pic>
              </a:graphicData>
            </a:graphic>
          </wp:inline>
        </w:drawing>
      </w:r>
    </w:p>
    <w:p w14:paraId="04D56C36" w14:textId="70C486B7" w:rsidR="00BE2B50" w:rsidRDefault="00C86061" w:rsidP="00C86061">
      <w:pPr>
        <w:pStyle w:val="a3"/>
        <w:rPr>
          <w:sz w:val="24"/>
          <w:szCs w:val="24"/>
        </w:rPr>
      </w:pPr>
      <w:r>
        <w:t xml:space="preserve">Figure </w:t>
      </w:r>
      <w:r>
        <w:fldChar w:fldCharType="begin"/>
      </w:r>
      <w:r>
        <w:instrText xml:space="preserve"> SEQ Figure \* ARABIC </w:instrText>
      </w:r>
      <w:r>
        <w:fldChar w:fldCharType="separate"/>
      </w:r>
      <w:r w:rsidR="00230A0C">
        <w:rPr>
          <w:noProof/>
        </w:rPr>
        <w:t>2</w:t>
      </w:r>
      <w:r>
        <w:fldChar w:fldCharType="end"/>
      </w:r>
      <w:r>
        <w:t xml:space="preserve"> The whole picture on switching time mask</w:t>
      </w:r>
    </w:p>
    <w:p w14:paraId="7A5E1ABF" w14:textId="43766025" w:rsidR="00BE2B50" w:rsidRDefault="00C86061" w:rsidP="005C249A">
      <w:pPr>
        <w:pStyle w:val="B1"/>
        <w:ind w:left="0" w:firstLine="0"/>
        <w:rPr>
          <w:rFonts w:eastAsiaTheme="minorEastAsia"/>
          <w:sz w:val="24"/>
          <w:szCs w:val="24"/>
          <w:lang w:eastAsia="zh-CN"/>
        </w:rPr>
      </w:pPr>
      <w:r>
        <w:rPr>
          <w:rFonts w:eastAsiaTheme="minorEastAsia" w:hint="eastAsia"/>
          <w:sz w:val="24"/>
          <w:szCs w:val="24"/>
          <w:lang w:eastAsia="zh-CN"/>
        </w:rPr>
        <w:t>T</w:t>
      </w:r>
      <w:r>
        <w:rPr>
          <w:rFonts w:eastAsiaTheme="minorEastAsia"/>
          <w:sz w:val="24"/>
          <w:szCs w:val="24"/>
          <w:lang w:eastAsia="zh-CN"/>
        </w:rPr>
        <w:t xml:space="preserve">he whole picture on the switching time mask between </w:t>
      </w:r>
      <w:r w:rsidRPr="00C86061">
        <w:rPr>
          <w:rFonts w:eastAsiaTheme="minorEastAsia"/>
          <w:sz w:val="24"/>
          <w:szCs w:val="24"/>
          <w:lang w:eastAsia="zh-CN"/>
        </w:rPr>
        <w:t>UL/DL FDD band and Dual-DL FDD+SDL bands</w:t>
      </w:r>
      <w:r>
        <w:rPr>
          <w:rFonts w:eastAsiaTheme="minorEastAsia"/>
          <w:sz w:val="24"/>
          <w:szCs w:val="24"/>
          <w:lang w:eastAsia="zh-CN"/>
        </w:rPr>
        <w:t xml:space="preserve"> is shown in the figure 2.</w:t>
      </w:r>
    </w:p>
    <w:p w14:paraId="28954969" w14:textId="2727E2CB" w:rsidR="00C86061" w:rsidRDefault="00C86061" w:rsidP="005C249A">
      <w:pPr>
        <w:pStyle w:val="B1"/>
        <w:ind w:left="0" w:firstLine="0"/>
        <w:rPr>
          <w:rFonts w:eastAsiaTheme="minorEastAsia"/>
          <w:sz w:val="24"/>
          <w:szCs w:val="24"/>
          <w:lang w:eastAsia="zh-CN"/>
        </w:rPr>
      </w:pPr>
      <w:r>
        <w:rPr>
          <w:rFonts w:eastAsiaTheme="minorEastAsia"/>
          <w:sz w:val="24"/>
          <w:szCs w:val="24"/>
          <w:lang w:eastAsia="zh-CN"/>
        </w:rPr>
        <w:t xml:space="preserve">It’s clear that the switching gap in SDL band is needed when the status is switching from </w:t>
      </w:r>
      <w:r w:rsidRPr="00C86061">
        <w:rPr>
          <w:rFonts w:eastAsiaTheme="minorEastAsia"/>
          <w:sz w:val="24"/>
          <w:szCs w:val="24"/>
          <w:lang w:eastAsia="zh-CN"/>
        </w:rPr>
        <w:t>Dual-DL FDD+SDL bands</w:t>
      </w:r>
      <w:r>
        <w:rPr>
          <w:rFonts w:eastAsiaTheme="minorEastAsia"/>
          <w:sz w:val="24"/>
          <w:szCs w:val="24"/>
          <w:lang w:eastAsia="zh-CN"/>
        </w:rPr>
        <w:t xml:space="preserve"> to </w:t>
      </w:r>
      <w:r w:rsidRPr="00C86061">
        <w:rPr>
          <w:rFonts w:eastAsiaTheme="minorEastAsia"/>
          <w:sz w:val="24"/>
          <w:szCs w:val="24"/>
          <w:lang w:eastAsia="zh-CN"/>
        </w:rPr>
        <w:t>UL/DL FDD band</w:t>
      </w:r>
      <w:r>
        <w:rPr>
          <w:rFonts w:eastAsiaTheme="minorEastAsia"/>
          <w:sz w:val="24"/>
          <w:szCs w:val="24"/>
          <w:lang w:eastAsia="zh-CN"/>
        </w:rPr>
        <w:t xml:space="preserve">. However, RAN4 need to discuss whether UE can maintain the DL reception </w:t>
      </w:r>
      <w:r w:rsidR="006B3474">
        <w:rPr>
          <w:rFonts w:eastAsiaTheme="minorEastAsia"/>
          <w:sz w:val="24"/>
          <w:szCs w:val="24"/>
          <w:lang w:eastAsia="zh-CN"/>
        </w:rPr>
        <w:t xml:space="preserve">in DL FDD band </w:t>
      </w:r>
      <w:r>
        <w:rPr>
          <w:rFonts w:eastAsiaTheme="minorEastAsia"/>
          <w:sz w:val="24"/>
          <w:szCs w:val="24"/>
          <w:lang w:eastAsia="zh-CN"/>
        </w:rPr>
        <w:t xml:space="preserve">during the switching gap from </w:t>
      </w:r>
      <w:r w:rsidRPr="00C86061">
        <w:rPr>
          <w:rFonts w:eastAsiaTheme="minorEastAsia"/>
          <w:sz w:val="24"/>
          <w:szCs w:val="24"/>
          <w:lang w:eastAsia="zh-CN"/>
        </w:rPr>
        <w:t>Dual-DL FDD+SDL bands to UL/DL FDD band</w:t>
      </w:r>
      <w:r>
        <w:rPr>
          <w:rFonts w:eastAsiaTheme="minorEastAsia"/>
          <w:sz w:val="24"/>
          <w:szCs w:val="24"/>
          <w:lang w:eastAsia="zh-CN"/>
        </w:rPr>
        <w:t>.</w:t>
      </w:r>
    </w:p>
    <w:p w14:paraId="25252419" w14:textId="3CABD635" w:rsidR="00C86061" w:rsidRPr="00C86061" w:rsidRDefault="00C86061" w:rsidP="005C249A">
      <w:pPr>
        <w:pStyle w:val="B1"/>
        <w:ind w:left="0" w:firstLine="0"/>
        <w:rPr>
          <w:rFonts w:eastAsiaTheme="minorEastAsia" w:hint="eastAsia"/>
          <w:sz w:val="24"/>
          <w:szCs w:val="24"/>
          <w:lang w:eastAsia="zh-CN"/>
        </w:rPr>
      </w:pPr>
      <w:r>
        <w:rPr>
          <w:rFonts w:eastAsiaTheme="minorEastAsia"/>
          <w:b/>
          <w:sz w:val="24"/>
          <w:szCs w:val="24"/>
          <w:lang w:eastAsia="zh-CN"/>
        </w:rPr>
        <w:t>Observation</w:t>
      </w:r>
      <w:r w:rsidRPr="00422E4B">
        <w:rPr>
          <w:rFonts w:eastAsiaTheme="minorEastAsia" w:hint="eastAsia"/>
          <w:b/>
          <w:sz w:val="24"/>
          <w:szCs w:val="24"/>
          <w:lang w:eastAsia="zh-CN"/>
        </w:rPr>
        <w:t xml:space="preserve"> </w:t>
      </w:r>
      <w:r>
        <w:rPr>
          <w:rFonts w:eastAsiaTheme="minorEastAsia"/>
          <w:b/>
          <w:sz w:val="24"/>
          <w:szCs w:val="24"/>
          <w:lang w:eastAsia="zh-CN"/>
        </w:rPr>
        <w:t>1</w:t>
      </w:r>
      <w:r w:rsidRPr="00422E4B">
        <w:rPr>
          <w:rFonts w:eastAsiaTheme="minorEastAsia" w:hint="eastAsia"/>
          <w:b/>
          <w:sz w:val="24"/>
          <w:szCs w:val="24"/>
          <w:lang w:eastAsia="zh-CN"/>
        </w:rPr>
        <w:t>:</w:t>
      </w:r>
      <w:r w:rsidR="00280BCD" w:rsidRPr="00280BCD">
        <w:t xml:space="preserve"> </w:t>
      </w:r>
      <w:r w:rsidR="00280BCD" w:rsidRPr="00280BCD">
        <w:rPr>
          <w:rFonts w:eastAsiaTheme="minorEastAsia"/>
          <w:b/>
          <w:sz w:val="24"/>
          <w:szCs w:val="24"/>
          <w:lang w:eastAsia="zh-CN"/>
        </w:rPr>
        <w:t>the switching gap in SDL band is needed when the status is switching from Dual-DL FDD+SDL bands to UL/DL FDD band.</w:t>
      </w:r>
    </w:p>
    <w:p w14:paraId="1921A8EB" w14:textId="119CA6E2" w:rsidR="00BE2B50" w:rsidRDefault="00280BCD" w:rsidP="005C249A">
      <w:pPr>
        <w:pStyle w:val="B1"/>
        <w:ind w:left="0" w:firstLine="0"/>
        <w:rPr>
          <w:rFonts w:eastAsiaTheme="minorEastAsia"/>
          <w:sz w:val="24"/>
          <w:szCs w:val="24"/>
          <w:lang w:eastAsia="zh-CN"/>
        </w:rPr>
      </w:pPr>
      <w:r>
        <w:rPr>
          <w:rFonts w:eastAsiaTheme="minorEastAsia"/>
          <w:sz w:val="24"/>
          <w:szCs w:val="24"/>
          <w:lang w:eastAsia="zh-CN"/>
        </w:rPr>
        <w:t xml:space="preserve">It’s clear that the switching gap in UL FDD band is needed when the status is switching from </w:t>
      </w:r>
      <w:r w:rsidRPr="00C86061">
        <w:rPr>
          <w:rFonts w:eastAsiaTheme="minorEastAsia"/>
          <w:sz w:val="24"/>
          <w:szCs w:val="24"/>
          <w:lang w:eastAsia="zh-CN"/>
        </w:rPr>
        <w:t xml:space="preserve">UL/DL FDD band </w:t>
      </w:r>
      <w:r>
        <w:rPr>
          <w:rFonts w:eastAsiaTheme="minorEastAsia"/>
          <w:sz w:val="24"/>
          <w:szCs w:val="24"/>
          <w:lang w:eastAsia="zh-CN"/>
        </w:rPr>
        <w:t>to</w:t>
      </w:r>
      <w:r w:rsidRPr="00280BCD">
        <w:rPr>
          <w:rFonts w:eastAsiaTheme="minorEastAsia"/>
          <w:sz w:val="24"/>
          <w:szCs w:val="24"/>
          <w:lang w:eastAsia="zh-CN"/>
        </w:rPr>
        <w:t xml:space="preserve"> </w:t>
      </w:r>
      <w:r w:rsidRPr="00C86061">
        <w:rPr>
          <w:rFonts w:eastAsiaTheme="minorEastAsia"/>
          <w:sz w:val="24"/>
          <w:szCs w:val="24"/>
          <w:lang w:eastAsia="zh-CN"/>
        </w:rPr>
        <w:t>Dual-DL FDD+SDL bands</w:t>
      </w:r>
      <w:r>
        <w:rPr>
          <w:rFonts w:eastAsiaTheme="minorEastAsia"/>
          <w:sz w:val="24"/>
          <w:szCs w:val="24"/>
          <w:lang w:eastAsia="zh-CN"/>
        </w:rPr>
        <w:t xml:space="preserve">. However, RAN4 need to discuss whether UE can maintain the DL reception </w:t>
      </w:r>
      <w:r w:rsidR="006B3474">
        <w:rPr>
          <w:rFonts w:eastAsiaTheme="minorEastAsia"/>
          <w:sz w:val="24"/>
          <w:szCs w:val="24"/>
          <w:lang w:eastAsia="zh-CN"/>
        </w:rPr>
        <w:t xml:space="preserve">in DL FDD band </w:t>
      </w:r>
      <w:r>
        <w:rPr>
          <w:rFonts w:eastAsiaTheme="minorEastAsia"/>
          <w:sz w:val="24"/>
          <w:szCs w:val="24"/>
          <w:lang w:eastAsia="zh-CN"/>
        </w:rPr>
        <w:t xml:space="preserve">during the switching gap from </w:t>
      </w:r>
      <w:r w:rsidRPr="00C86061">
        <w:rPr>
          <w:rFonts w:eastAsiaTheme="minorEastAsia"/>
          <w:sz w:val="24"/>
          <w:szCs w:val="24"/>
          <w:lang w:eastAsia="zh-CN"/>
        </w:rPr>
        <w:t xml:space="preserve">UL/DL FDD band </w:t>
      </w:r>
      <w:r>
        <w:rPr>
          <w:rFonts w:eastAsiaTheme="minorEastAsia"/>
          <w:sz w:val="24"/>
          <w:szCs w:val="24"/>
          <w:lang w:eastAsia="zh-CN"/>
        </w:rPr>
        <w:t>to</w:t>
      </w:r>
      <w:r w:rsidRPr="00280BCD">
        <w:rPr>
          <w:rFonts w:eastAsiaTheme="minorEastAsia"/>
          <w:sz w:val="24"/>
          <w:szCs w:val="24"/>
          <w:lang w:eastAsia="zh-CN"/>
        </w:rPr>
        <w:t xml:space="preserve"> </w:t>
      </w:r>
      <w:r w:rsidRPr="00C86061">
        <w:rPr>
          <w:rFonts w:eastAsiaTheme="minorEastAsia"/>
          <w:sz w:val="24"/>
          <w:szCs w:val="24"/>
          <w:lang w:eastAsia="zh-CN"/>
        </w:rPr>
        <w:t>Dual-DL FDD+SDL bands</w:t>
      </w:r>
      <w:r>
        <w:rPr>
          <w:rFonts w:eastAsiaTheme="minorEastAsia"/>
          <w:sz w:val="24"/>
          <w:szCs w:val="24"/>
          <w:lang w:eastAsia="zh-CN"/>
        </w:rPr>
        <w:t>.</w:t>
      </w:r>
    </w:p>
    <w:p w14:paraId="55059E2E" w14:textId="75A14285" w:rsidR="00280BCD" w:rsidRPr="00C86061" w:rsidRDefault="00280BCD" w:rsidP="00280BCD">
      <w:pPr>
        <w:pStyle w:val="B1"/>
        <w:ind w:left="0" w:firstLine="0"/>
        <w:rPr>
          <w:rFonts w:eastAsiaTheme="minorEastAsia" w:hint="eastAsia"/>
          <w:sz w:val="24"/>
          <w:szCs w:val="24"/>
          <w:lang w:eastAsia="zh-CN"/>
        </w:rPr>
      </w:pPr>
      <w:r>
        <w:rPr>
          <w:rFonts w:eastAsiaTheme="minorEastAsia"/>
          <w:b/>
          <w:sz w:val="24"/>
          <w:szCs w:val="24"/>
          <w:lang w:eastAsia="zh-CN"/>
        </w:rPr>
        <w:lastRenderedPageBreak/>
        <w:t>Observation</w:t>
      </w:r>
      <w:r w:rsidRPr="00422E4B">
        <w:rPr>
          <w:rFonts w:eastAsiaTheme="minorEastAsia" w:hint="eastAsia"/>
          <w:b/>
          <w:sz w:val="24"/>
          <w:szCs w:val="24"/>
          <w:lang w:eastAsia="zh-CN"/>
        </w:rPr>
        <w:t xml:space="preserve"> </w:t>
      </w:r>
      <w:r>
        <w:rPr>
          <w:rFonts w:eastAsiaTheme="minorEastAsia"/>
          <w:b/>
          <w:sz w:val="24"/>
          <w:szCs w:val="24"/>
          <w:lang w:eastAsia="zh-CN"/>
        </w:rPr>
        <w:t>2</w:t>
      </w:r>
      <w:r w:rsidRPr="00422E4B">
        <w:rPr>
          <w:rFonts w:eastAsiaTheme="minorEastAsia" w:hint="eastAsia"/>
          <w:b/>
          <w:sz w:val="24"/>
          <w:szCs w:val="24"/>
          <w:lang w:eastAsia="zh-CN"/>
        </w:rPr>
        <w:t>:</w:t>
      </w:r>
      <w:r w:rsidRPr="00280BCD">
        <w:t xml:space="preserve"> </w:t>
      </w:r>
      <w:r w:rsidRPr="00280BCD">
        <w:rPr>
          <w:rFonts w:eastAsiaTheme="minorEastAsia"/>
          <w:b/>
          <w:sz w:val="24"/>
          <w:szCs w:val="24"/>
          <w:lang w:eastAsia="zh-CN"/>
        </w:rPr>
        <w:t xml:space="preserve">the switching gap in </w:t>
      </w:r>
      <w:r>
        <w:rPr>
          <w:rFonts w:eastAsiaTheme="minorEastAsia"/>
          <w:b/>
          <w:sz w:val="24"/>
          <w:szCs w:val="24"/>
          <w:lang w:eastAsia="zh-CN"/>
        </w:rPr>
        <w:t>UL</w:t>
      </w:r>
      <w:r w:rsidRPr="00280BCD">
        <w:rPr>
          <w:rFonts w:eastAsiaTheme="minorEastAsia"/>
          <w:b/>
          <w:sz w:val="24"/>
          <w:szCs w:val="24"/>
          <w:lang w:eastAsia="zh-CN"/>
        </w:rPr>
        <w:t xml:space="preserve"> band is needed when the status is switching from Dual-DL FDD+SDL bands to UL/DL FDD band.</w:t>
      </w:r>
    </w:p>
    <w:p w14:paraId="12C2C4D3" w14:textId="6EC24977" w:rsidR="00280BCD" w:rsidRDefault="006B3474" w:rsidP="005C249A">
      <w:pPr>
        <w:pStyle w:val="B1"/>
        <w:ind w:left="0" w:firstLine="0"/>
        <w:rPr>
          <w:sz w:val="24"/>
          <w:szCs w:val="24"/>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2</w:t>
      </w:r>
      <w:r w:rsidRPr="00422E4B">
        <w:rPr>
          <w:rFonts w:eastAsiaTheme="minorEastAsia" w:hint="eastAsia"/>
          <w:b/>
          <w:sz w:val="24"/>
          <w:szCs w:val="24"/>
          <w:lang w:eastAsia="zh-CN"/>
        </w:rPr>
        <w:t>:</w:t>
      </w:r>
      <w:r>
        <w:rPr>
          <w:rFonts w:eastAsiaTheme="minorEastAsia"/>
          <w:b/>
          <w:sz w:val="24"/>
          <w:szCs w:val="24"/>
          <w:lang w:eastAsia="zh-CN"/>
        </w:rPr>
        <w:t xml:space="preserve"> </w:t>
      </w:r>
      <w:r w:rsidRPr="006B3474">
        <w:rPr>
          <w:rFonts w:eastAsiaTheme="minorEastAsia"/>
          <w:b/>
          <w:sz w:val="24"/>
          <w:szCs w:val="24"/>
          <w:lang w:eastAsia="zh-CN"/>
        </w:rPr>
        <w:t xml:space="preserve">RAN4 need to discuss whether UE can maintain the DL reception in DL FDD band during the switching gap from Dual-DL FDD+SDL bands to UL/DL FDD band </w:t>
      </w:r>
      <w:r>
        <w:rPr>
          <w:rFonts w:eastAsiaTheme="minorEastAsia"/>
          <w:b/>
          <w:sz w:val="24"/>
          <w:szCs w:val="24"/>
          <w:lang w:eastAsia="zh-CN"/>
        </w:rPr>
        <w:t xml:space="preserve">or </w:t>
      </w:r>
      <w:r w:rsidRPr="006B3474">
        <w:rPr>
          <w:rFonts w:eastAsiaTheme="minorEastAsia"/>
          <w:b/>
          <w:sz w:val="24"/>
          <w:szCs w:val="24"/>
          <w:lang w:eastAsia="zh-CN"/>
        </w:rPr>
        <w:t>from UL/DL FDD band to Dual-DL FDD+SDL bands.</w:t>
      </w:r>
    </w:p>
    <w:p w14:paraId="22DE2287" w14:textId="5350941B" w:rsidR="007A00C1" w:rsidRDefault="007A00C1" w:rsidP="007A00C1">
      <w:pPr>
        <w:pStyle w:val="2"/>
        <w:rPr>
          <w:rFonts w:eastAsiaTheme="minorEastAsia"/>
          <w:lang w:eastAsia="zh-CN"/>
        </w:rPr>
      </w:pPr>
      <w:r>
        <w:rPr>
          <w:rFonts w:eastAsiaTheme="minorEastAsia" w:hint="eastAsia"/>
          <w:lang w:eastAsia="zh-CN"/>
        </w:rPr>
        <w:t>2.</w:t>
      </w:r>
      <w:r>
        <w:rPr>
          <w:rFonts w:eastAsiaTheme="minorEastAsia"/>
          <w:lang w:eastAsia="zh-CN"/>
        </w:rPr>
        <w:t>2</w:t>
      </w:r>
      <w:r>
        <w:rPr>
          <w:rFonts w:eastAsiaTheme="minorEastAsia" w:hint="eastAsia"/>
          <w:lang w:eastAsia="zh-CN"/>
        </w:rPr>
        <w:t xml:space="preserve"> </w:t>
      </w:r>
      <w:r>
        <w:rPr>
          <w:rFonts w:eastAsiaTheme="minorEastAsia"/>
          <w:lang w:eastAsia="zh-CN"/>
        </w:rPr>
        <w:t>REFSENS requirements and DL RMC</w:t>
      </w:r>
    </w:p>
    <w:p w14:paraId="16AEA6EF" w14:textId="563588A5" w:rsidR="00533F97" w:rsidRDefault="005C249A" w:rsidP="005C249A">
      <w:pPr>
        <w:pStyle w:val="B1"/>
        <w:ind w:left="0" w:firstLine="0"/>
        <w:rPr>
          <w:sz w:val="24"/>
          <w:szCs w:val="24"/>
        </w:rPr>
      </w:pPr>
      <w:r w:rsidRPr="00422E4B">
        <w:rPr>
          <w:sz w:val="24"/>
          <w:szCs w:val="24"/>
        </w:rPr>
        <w:t xml:space="preserve">As a new switching pattern between the PCell and the SCell will be indicated by network IE </w:t>
      </w:r>
      <w:r w:rsidRPr="00422E4B">
        <w:rPr>
          <w:i/>
          <w:sz w:val="24"/>
          <w:szCs w:val="24"/>
          <w:lang w:eastAsia="zh-CN"/>
        </w:rPr>
        <w:t>LBCA-SwitchingPattern</w:t>
      </w:r>
      <w:r w:rsidRPr="00422E4B">
        <w:rPr>
          <w:sz w:val="24"/>
          <w:szCs w:val="24"/>
        </w:rPr>
        <w:t xml:space="preserve"> referring to clause 24 of TS 38.213, current DL FDD RMC specified in </w:t>
      </w:r>
      <w:r w:rsidR="00692673" w:rsidRPr="00422E4B">
        <w:rPr>
          <w:sz w:val="24"/>
          <w:szCs w:val="24"/>
        </w:rPr>
        <w:t xml:space="preserve">clause </w:t>
      </w:r>
      <w:r w:rsidRPr="00422E4B">
        <w:rPr>
          <w:sz w:val="24"/>
          <w:szCs w:val="24"/>
        </w:rPr>
        <w:t>A.3.3</w:t>
      </w:r>
      <w:r w:rsidR="00692673" w:rsidRPr="00422E4B">
        <w:rPr>
          <w:sz w:val="24"/>
          <w:szCs w:val="24"/>
        </w:rPr>
        <w:t xml:space="preserve"> of TS 38.101-1</w:t>
      </w:r>
      <w:r w:rsidRPr="00422E4B">
        <w:rPr>
          <w:sz w:val="24"/>
          <w:szCs w:val="24"/>
        </w:rPr>
        <w:t xml:space="preserve"> are not applicable for </w:t>
      </w:r>
      <w:r w:rsidR="007A00C1">
        <w:rPr>
          <w:sz w:val="24"/>
          <w:szCs w:val="24"/>
        </w:rPr>
        <w:t xml:space="preserve">R20 </w:t>
      </w:r>
      <w:r w:rsidRPr="00422E4B">
        <w:rPr>
          <w:sz w:val="24"/>
          <w:szCs w:val="24"/>
        </w:rPr>
        <w:t xml:space="preserve">Low-Low bands inter-band CA via switching. That means current </w:t>
      </w:r>
      <w:r w:rsidR="00692673" w:rsidRPr="00422E4B">
        <w:rPr>
          <w:sz w:val="24"/>
          <w:szCs w:val="24"/>
        </w:rPr>
        <w:t xml:space="preserve">REFSENS </w:t>
      </w:r>
      <w:r w:rsidRPr="00422E4B">
        <w:rPr>
          <w:sz w:val="24"/>
          <w:szCs w:val="24"/>
        </w:rPr>
        <w:t xml:space="preserve">requirements </w:t>
      </w:r>
      <w:r w:rsidR="00692673" w:rsidRPr="00422E4B">
        <w:rPr>
          <w:sz w:val="24"/>
          <w:szCs w:val="24"/>
        </w:rPr>
        <w:t>for inter-band CA specified in the clause 7.3A.2.3 of TS 38.101-1 can’t be reused for this case.</w:t>
      </w:r>
    </w:p>
    <w:tbl>
      <w:tblPr>
        <w:tblStyle w:val="a6"/>
        <w:tblW w:w="0" w:type="auto"/>
        <w:tblLook w:val="04A0" w:firstRow="1" w:lastRow="0" w:firstColumn="1" w:lastColumn="0" w:noHBand="0" w:noVBand="1"/>
      </w:tblPr>
      <w:tblGrid>
        <w:gridCol w:w="10683"/>
      </w:tblGrid>
      <w:tr w:rsidR="00422E4B" w14:paraId="025C93C9" w14:textId="77777777" w:rsidTr="00422E4B">
        <w:tc>
          <w:tcPr>
            <w:tcW w:w="10683" w:type="dxa"/>
          </w:tcPr>
          <w:p w14:paraId="37ABAC8F" w14:textId="77777777" w:rsidR="00422E4B" w:rsidRDefault="00422E4B" w:rsidP="005C249A">
            <w:pPr>
              <w:pStyle w:val="B1"/>
              <w:ind w:left="0" w:firstLine="0"/>
              <w:rPr>
                <w:sz w:val="24"/>
                <w:szCs w:val="24"/>
              </w:rPr>
            </w:pPr>
            <w:r>
              <w:rPr>
                <w:sz w:val="24"/>
                <w:szCs w:val="24"/>
              </w:rPr>
              <w:t>T</w:t>
            </w:r>
            <w:r w:rsidRPr="00422E4B">
              <w:rPr>
                <w:sz w:val="24"/>
                <w:szCs w:val="24"/>
              </w:rPr>
              <w:t>he clause 7.3A.2.3 of TS 38.101-1</w:t>
            </w:r>
            <w:r>
              <w:rPr>
                <w:sz w:val="24"/>
                <w:szCs w:val="24"/>
              </w:rPr>
              <w:t>:</w:t>
            </w:r>
          </w:p>
          <w:p w14:paraId="7B32A5DA" w14:textId="77777777" w:rsidR="00A97767" w:rsidRPr="00A97767" w:rsidRDefault="00A97767" w:rsidP="00A97767">
            <w:pPr>
              <w:pStyle w:val="4"/>
              <w:rPr>
                <w:i/>
                <w:shd w:val="pct15" w:color="auto" w:fill="FFFFFF"/>
              </w:rPr>
            </w:pPr>
            <w:bookmarkStart w:id="3" w:name="_Toc21344437"/>
            <w:bookmarkStart w:id="4" w:name="_Toc29801924"/>
            <w:bookmarkStart w:id="5" w:name="_Toc29802348"/>
            <w:bookmarkStart w:id="6" w:name="_Toc29802973"/>
            <w:bookmarkStart w:id="7" w:name="_Toc36107715"/>
            <w:bookmarkStart w:id="8" w:name="_Toc37251489"/>
            <w:bookmarkStart w:id="9" w:name="_Toc45888396"/>
            <w:bookmarkStart w:id="10" w:name="_Toc45888995"/>
            <w:bookmarkStart w:id="11" w:name="_Toc61367713"/>
            <w:bookmarkStart w:id="12" w:name="_Toc61373096"/>
            <w:bookmarkStart w:id="13" w:name="_Toc68231046"/>
            <w:bookmarkStart w:id="14" w:name="_Toc69084459"/>
            <w:bookmarkStart w:id="15" w:name="_Toc75467470"/>
            <w:bookmarkStart w:id="16" w:name="_Toc76509492"/>
            <w:bookmarkStart w:id="17" w:name="_Toc76718482"/>
            <w:bookmarkStart w:id="18" w:name="_Toc83580829"/>
            <w:bookmarkStart w:id="19" w:name="_Toc84405338"/>
            <w:bookmarkStart w:id="20" w:name="_Toc84413947"/>
            <w:r w:rsidRPr="00A97767">
              <w:rPr>
                <w:i/>
                <w:shd w:val="pct15" w:color="auto" w:fill="FFFFFF"/>
              </w:rPr>
              <w:t>7.3A.2.3</w:t>
            </w:r>
            <w:r w:rsidRPr="00A97767">
              <w:rPr>
                <w:i/>
                <w:shd w:val="pct15" w:color="auto" w:fill="FFFFFF"/>
              </w:rPr>
              <w:tab/>
              <w:t>Reference sensitivity power level for Inter-band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111A7C9" w14:textId="77777777" w:rsidR="00A97767" w:rsidRPr="00A97767" w:rsidRDefault="00A97767" w:rsidP="00A97767">
            <w:pPr>
              <w:rPr>
                <w:i/>
                <w:shd w:val="pct15" w:color="auto" w:fill="FFFFFF"/>
              </w:rPr>
            </w:pPr>
            <w:r w:rsidRPr="00A97767">
              <w:rPr>
                <w:i/>
                <w:shd w:val="pct15" w:color="auto" w:fill="FFFFFF"/>
              </w:rPr>
              <w:t xml:space="preserve">For inter-band carrier aggregation with one component carrier per operating band and the uplink assigned to one NR band the throughput shall be ≥ 95 % of the maximum throughput of the reference measurement channels as specified in Annexes A.2.2.2, </w:t>
            </w:r>
            <w:r w:rsidRPr="009D42B9">
              <w:rPr>
                <w:i/>
                <w:color w:val="FF0000"/>
                <w:shd w:val="pct15" w:color="auto" w:fill="FFFFFF"/>
              </w:rPr>
              <w:t>A.3.2, and A.3.3</w:t>
            </w:r>
            <w:r w:rsidRPr="00A97767">
              <w:rPr>
                <w:i/>
                <w:shd w:val="pct15" w:color="auto" w:fill="FFFFFF"/>
              </w:rPr>
              <w:t xml:space="preserve"> (with one sided dynamic OCNG Pattern OP.1 FDD/TDD for the DL-signal as described in Annex A.5.1.1/A.5.2.1 with parameters specified in  Table 7.3.2-1a, Table 7.3.2-1b, Table 7.3.2-2, Table 7.3.2-2a, Table 7.3.2-3, and in Table 7.3F.2-1, Table 7.3F.2-2, Table 7.3F.2-3 for inter-band CA with one shared spectrum channel access band, modified in accordance with clause 7.3A.3.2. The reference sensitivity is defined to be met with </w:t>
            </w:r>
            <w:r w:rsidRPr="00A97767">
              <w:rPr>
                <w:i/>
                <w:shd w:val="pct15" w:color="auto" w:fill="FFFFFF"/>
                <w:lang w:eastAsia="zh-CN"/>
              </w:rPr>
              <w:t>all</w:t>
            </w:r>
            <w:r w:rsidRPr="00A97767">
              <w:rPr>
                <w:i/>
                <w:shd w:val="pct15" w:color="auto" w:fill="FFFFFF"/>
              </w:rPr>
              <w:t xml:space="preserve"> downlink component carriers active and one of the uplink carriers active. Exceptions to reference sensitivity are allowed in accordance with clause 7.3A.4, 7.3A.5 and 7.3A.6.</w:t>
            </w:r>
          </w:p>
          <w:p w14:paraId="7D5EB324" w14:textId="77777777" w:rsidR="00A97767" w:rsidRPr="00A97767" w:rsidRDefault="00A97767" w:rsidP="00A97767">
            <w:pPr>
              <w:rPr>
                <w:i/>
                <w:shd w:val="pct15" w:color="auto" w:fill="FFFFFF"/>
              </w:rPr>
            </w:pPr>
            <w:r w:rsidRPr="00A97767">
              <w:rPr>
                <w:i/>
                <w:shd w:val="pct15" w:color="auto" w:fill="FFFFFF"/>
              </w:rPr>
              <w:t xml:space="preserve">For the combination of intra-band and inter-band carrier aggregation, the intra-band CA relaxation, </w:t>
            </w:r>
            <w:r w:rsidRPr="00A97767">
              <w:rPr>
                <w:rFonts w:cs="Arial"/>
                <w:i/>
                <w:shd w:val="pct15" w:color="auto" w:fill="FFFFFF"/>
              </w:rPr>
              <w:t>Δ</w:t>
            </w:r>
            <w:r w:rsidRPr="00A97767">
              <w:rPr>
                <w:i/>
                <w:shd w:val="pct15" w:color="auto" w:fill="FFFFFF"/>
              </w:rPr>
              <w:t>R</w:t>
            </w:r>
            <w:r w:rsidRPr="00A97767">
              <w:rPr>
                <w:i/>
                <w:sz w:val="13"/>
                <w:szCs w:val="13"/>
                <w:shd w:val="pct15" w:color="auto" w:fill="FFFFFF"/>
              </w:rPr>
              <w:t>IBC</w:t>
            </w:r>
            <w:r w:rsidRPr="00A97767">
              <w:rPr>
                <w:rFonts w:eastAsia="宋体"/>
                <w:i/>
                <w:sz w:val="13"/>
                <w:szCs w:val="13"/>
                <w:shd w:val="pct15" w:color="auto" w:fill="FFFFFF"/>
                <w:lang w:eastAsia="zh-CN"/>
              </w:rPr>
              <w:t xml:space="preserve"> </w:t>
            </w:r>
            <w:r w:rsidRPr="00A97767">
              <w:rPr>
                <w:rFonts w:eastAsia="宋体"/>
                <w:i/>
                <w:shd w:val="pct15" w:color="auto" w:fill="FFFFFF"/>
                <w:lang w:eastAsia="zh-CN"/>
              </w:rPr>
              <w:t xml:space="preserve">and </w:t>
            </w:r>
            <w:r w:rsidRPr="00A97767">
              <w:rPr>
                <w:rFonts w:cs="Arial"/>
                <w:i/>
                <w:shd w:val="pct15" w:color="auto" w:fill="FFFFFF"/>
              </w:rPr>
              <w:t>Δ</w:t>
            </w:r>
            <w:r w:rsidRPr="00A97767">
              <w:rPr>
                <w:i/>
                <w:shd w:val="pct15" w:color="auto" w:fill="FFFFFF"/>
              </w:rPr>
              <w:t>R</w:t>
            </w:r>
            <w:r w:rsidRPr="00A97767">
              <w:rPr>
                <w:i/>
                <w:sz w:val="13"/>
                <w:szCs w:val="13"/>
                <w:shd w:val="pct15" w:color="auto" w:fill="FFFFFF"/>
              </w:rPr>
              <w:t>IBNC</w:t>
            </w:r>
            <w:r w:rsidRPr="00A97767">
              <w:rPr>
                <w:i/>
                <w:shd w:val="pct15" w:color="auto" w:fill="FFFFFF"/>
              </w:rPr>
              <w:t xml:space="preserve">, </w:t>
            </w:r>
            <w:r w:rsidRPr="00A97767">
              <w:rPr>
                <w:rFonts w:eastAsia="宋体"/>
                <w:i/>
                <w:shd w:val="pct15" w:color="auto" w:fill="FFFFFF"/>
                <w:lang w:eastAsia="zh-CN"/>
              </w:rPr>
              <w:t>are</w:t>
            </w:r>
            <w:r w:rsidRPr="00A97767">
              <w:rPr>
                <w:i/>
                <w:shd w:val="pct15" w:color="auto" w:fill="FFFFFF"/>
              </w:rPr>
              <w:t xml:space="preserve"> also applied according to the clause 7.3A.2.1 and 7.3A.2.2.</w:t>
            </w:r>
          </w:p>
          <w:p w14:paraId="44155B4E" w14:textId="350B6636" w:rsidR="00422E4B" w:rsidRDefault="00A97767" w:rsidP="00A97767">
            <w:pPr>
              <w:pStyle w:val="B1"/>
              <w:ind w:left="0" w:firstLine="0"/>
              <w:rPr>
                <w:sz w:val="24"/>
                <w:szCs w:val="24"/>
              </w:rPr>
            </w:pPr>
            <w:r w:rsidRPr="00A97767">
              <w:rPr>
                <w:i/>
                <w:shd w:val="pct15" w:color="auto" w:fill="FFFFFF"/>
              </w:rPr>
              <w:t>The reference sensitivity exceptions due to harmonic, harmonic mixing, cross band isolation and power class 2 or power class 3 CA intermodulation interferences are applicable to the UL aggressor band configured with either one Tx antenna connector or two Tx antenna connectors with UL MIMO or Tx diversity operation.</w:t>
            </w:r>
          </w:p>
        </w:tc>
      </w:tr>
    </w:tbl>
    <w:p w14:paraId="79BB1FD7" w14:textId="42D4EC1C" w:rsidR="00692673" w:rsidRPr="00422E4B" w:rsidRDefault="00692673" w:rsidP="005C249A">
      <w:pPr>
        <w:pStyle w:val="B1"/>
        <w:ind w:left="0" w:firstLine="0"/>
        <w:rPr>
          <w:rFonts w:eastAsiaTheme="minorEastAsia"/>
          <w:b/>
          <w:sz w:val="24"/>
          <w:szCs w:val="24"/>
          <w:lang w:eastAsia="zh-CN"/>
        </w:rPr>
      </w:pPr>
      <w:r w:rsidRPr="00422E4B">
        <w:rPr>
          <w:rFonts w:eastAsiaTheme="minorEastAsia" w:hint="eastAsia"/>
          <w:b/>
          <w:sz w:val="24"/>
          <w:szCs w:val="24"/>
          <w:lang w:eastAsia="zh-CN"/>
        </w:rPr>
        <w:t xml:space="preserve">Observation </w:t>
      </w:r>
      <w:r w:rsidR="007A00C1">
        <w:rPr>
          <w:rFonts w:eastAsiaTheme="minorEastAsia"/>
          <w:b/>
          <w:sz w:val="24"/>
          <w:szCs w:val="24"/>
          <w:lang w:eastAsia="zh-CN"/>
        </w:rPr>
        <w:t>3</w:t>
      </w:r>
      <w:r w:rsidRPr="00422E4B">
        <w:rPr>
          <w:rFonts w:eastAsiaTheme="minorEastAsia" w:hint="eastAsia"/>
          <w:b/>
          <w:sz w:val="24"/>
          <w:szCs w:val="24"/>
          <w:lang w:eastAsia="zh-CN"/>
        </w:rPr>
        <w:t>:</w:t>
      </w:r>
      <w:r w:rsidRPr="00422E4B">
        <w:rPr>
          <w:rFonts w:eastAsiaTheme="minorEastAsia"/>
          <w:b/>
          <w:sz w:val="24"/>
          <w:szCs w:val="24"/>
          <w:lang w:eastAsia="zh-CN"/>
        </w:rPr>
        <w:t xml:space="preserve"> </w:t>
      </w:r>
      <w:r w:rsidR="00422E4B" w:rsidRPr="00422E4B">
        <w:rPr>
          <w:rFonts w:eastAsiaTheme="minorEastAsia"/>
          <w:b/>
          <w:sz w:val="24"/>
          <w:szCs w:val="24"/>
          <w:lang w:eastAsia="zh-CN"/>
        </w:rPr>
        <w:t xml:space="preserve">current REFSENS requirements for inter-band CA specified in the clause 7.3A.2.3 of TS 38.101-1 can’t be reused for </w:t>
      </w:r>
      <w:r w:rsidR="007A00C1">
        <w:rPr>
          <w:rFonts w:eastAsiaTheme="minorEastAsia"/>
          <w:b/>
          <w:sz w:val="24"/>
          <w:szCs w:val="24"/>
          <w:lang w:eastAsia="zh-CN"/>
        </w:rPr>
        <w:t xml:space="preserve">R20 </w:t>
      </w:r>
      <w:r w:rsidR="00422E4B" w:rsidRPr="00422E4B">
        <w:rPr>
          <w:b/>
          <w:sz w:val="24"/>
          <w:szCs w:val="24"/>
        </w:rPr>
        <w:t>Low-Low bands inter-band CA via switching</w:t>
      </w:r>
      <w:r w:rsidR="00422E4B" w:rsidRPr="00422E4B">
        <w:rPr>
          <w:rFonts w:eastAsiaTheme="minorEastAsia"/>
          <w:b/>
          <w:sz w:val="24"/>
          <w:szCs w:val="24"/>
          <w:lang w:eastAsia="zh-CN"/>
        </w:rPr>
        <w:t xml:space="preserve">, since </w:t>
      </w:r>
      <w:r w:rsidR="00422E4B" w:rsidRPr="00422E4B">
        <w:rPr>
          <w:b/>
          <w:sz w:val="24"/>
          <w:szCs w:val="24"/>
        </w:rPr>
        <w:t xml:space="preserve">current DL FDD RMC specified in clause A.3.3 of TS 38.101-1 are not applicable for </w:t>
      </w:r>
      <w:r w:rsidR="007A00C1">
        <w:rPr>
          <w:b/>
          <w:sz w:val="24"/>
          <w:szCs w:val="24"/>
        </w:rPr>
        <w:t xml:space="preserve">R20 </w:t>
      </w:r>
      <w:r w:rsidR="00422E4B" w:rsidRPr="00422E4B">
        <w:rPr>
          <w:b/>
          <w:sz w:val="24"/>
          <w:szCs w:val="24"/>
        </w:rPr>
        <w:t>Low-Low bands inter-band CA via switching.</w:t>
      </w:r>
    </w:p>
    <w:p w14:paraId="71CA0BB0" w14:textId="51D2C29C" w:rsidR="00006D4F" w:rsidRDefault="00DB49F2" w:rsidP="009267C2">
      <w:pPr>
        <w:pStyle w:val="B1"/>
        <w:ind w:left="0" w:firstLine="0"/>
        <w:rPr>
          <w:rFonts w:eastAsiaTheme="minorEastAsia"/>
          <w:sz w:val="24"/>
          <w:szCs w:val="24"/>
          <w:lang w:eastAsia="zh-CN"/>
        </w:rPr>
      </w:pPr>
      <w:r>
        <w:rPr>
          <w:rFonts w:eastAsiaTheme="minorEastAsia"/>
          <w:sz w:val="24"/>
          <w:szCs w:val="24"/>
          <w:lang w:eastAsia="zh-CN"/>
        </w:rPr>
        <w:t>Apart from REFSENS requirements, it’s very important to verify the DL receiving performance for UE</w:t>
      </w:r>
      <w:r>
        <w:rPr>
          <w:rFonts w:eastAsiaTheme="minorEastAsia" w:hint="eastAsia"/>
          <w:sz w:val="24"/>
          <w:szCs w:val="24"/>
          <w:lang w:eastAsia="zh-CN"/>
        </w:rPr>
        <w:t xml:space="preserve"> </w:t>
      </w:r>
      <w:r>
        <w:rPr>
          <w:rFonts w:eastAsiaTheme="minorEastAsia"/>
          <w:sz w:val="24"/>
          <w:szCs w:val="24"/>
          <w:lang w:eastAsia="zh-CN"/>
        </w:rPr>
        <w:t xml:space="preserve">before </w:t>
      </w:r>
      <w:r w:rsidR="00CB3B69">
        <w:rPr>
          <w:rFonts w:eastAsiaTheme="minorEastAsia"/>
          <w:sz w:val="24"/>
          <w:szCs w:val="24"/>
          <w:lang w:eastAsia="zh-CN"/>
        </w:rPr>
        <w:t>and/</w:t>
      </w:r>
      <w:r>
        <w:rPr>
          <w:rFonts w:eastAsiaTheme="minorEastAsia"/>
          <w:sz w:val="24"/>
          <w:szCs w:val="24"/>
          <w:lang w:eastAsia="zh-CN"/>
        </w:rPr>
        <w:t>or after the Switching gap. Alternatively, RAN4 can design a new DL RMC to verify the REFSENS requirements and the DL receiving performance for UE</w:t>
      </w:r>
      <w:r>
        <w:rPr>
          <w:rFonts w:eastAsiaTheme="minorEastAsia" w:hint="eastAsia"/>
          <w:sz w:val="24"/>
          <w:szCs w:val="24"/>
          <w:lang w:eastAsia="zh-CN"/>
        </w:rPr>
        <w:t xml:space="preserve"> </w:t>
      </w:r>
      <w:r>
        <w:rPr>
          <w:rFonts w:eastAsiaTheme="minorEastAsia"/>
          <w:sz w:val="24"/>
          <w:szCs w:val="24"/>
          <w:lang w:eastAsia="zh-CN"/>
        </w:rPr>
        <w:t xml:space="preserve">before </w:t>
      </w:r>
      <w:r w:rsidR="00CB3B69">
        <w:rPr>
          <w:rFonts w:eastAsiaTheme="minorEastAsia"/>
          <w:sz w:val="24"/>
          <w:szCs w:val="24"/>
          <w:lang w:eastAsia="zh-CN"/>
        </w:rPr>
        <w:t>and/</w:t>
      </w:r>
      <w:r>
        <w:rPr>
          <w:rFonts w:eastAsiaTheme="minorEastAsia"/>
          <w:sz w:val="24"/>
          <w:szCs w:val="24"/>
          <w:lang w:eastAsia="zh-CN"/>
        </w:rPr>
        <w:t>or after the Switching gap together.</w:t>
      </w:r>
    </w:p>
    <w:p w14:paraId="1D80B1D1" w14:textId="35EBDE39" w:rsidR="003A744C" w:rsidRPr="00DB49F2" w:rsidRDefault="003A744C" w:rsidP="003A744C">
      <w:pPr>
        <w:pStyle w:val="B1"/>
        <w:ind w:left="0" w:firstLine="0"/>
        <w:rPr>
          <w:rFonts w:eastAsiaTheme="minorEastAsia"/>
          <w:sz w:val="24"/>
          <w:szCs w:val="24"/>
          <w:lang w:eastAsia="zh-CN"/>
        </w:rPr>
      </w:pPr>
      <w:r w:rsidRPr="00422E4B">
        <w:rPr>
          <w:rFonts w:eastAsiaTheme="minorEastAsia" w:hint="eastAsia"/>
          <w:b/>
          <w:sz w:val="24"/>
          <w:szCs w:val="24"/>
          <w:lang w:eastAsia="zh-CN"/>
        </w:rPr>
        <w:t xml:space="preserve">Observation </w:t>
      </w:r>
      <w:r w:rsidR="007A00C1">
        <w:rPr>
          <w:rFonts w:eastAsiaTheme="minorEastAsia"/>
          <w:b/>
          <w:sz w:val="24"/>
          <w:szCs w:val="24"/>
          <w:lang w:eastAsia="zh-CN"/>
        </w:rPr>
        <w:t>4</w:t>
      </w:r>
      <w:r w:rsidRPr="00422E4B">
        <w:rPr>
          <w:rFonts w:eastAsiaTheme="minorEastAsia" w:hint="eastAsia"/>
          <w:b/>
          <w:sz w:val="24"/>
          <w:szCs w:val="24"/>
          <w:lang w:eastAsia="zh-CN"/>
        </w:rPr>
        <w:t>:</w:t>
      </w:r>
      <w:r>
        <w:rPr>
          <w:rFonts w:eastAsiaTheme="minorEastAsia"/>
          <w:b/>
          <w:sz w:val="24"/>
          <w:szCs w:val="24"/>
          <w:lang w:eastAsia="zh-CN"/>
        </w:rPr>
        <w:t xml:space="preserve"> for </w:t>
      </w:r>
      <w:r w:rsidRPr="003A744C">
        <w:rPr>
          <w:rFonts w:eastAsiaTheme="minorEastAsia"/>
          <w:b/>
          <w:sz w:val="24"/>
          <w:szCs w:val="24"/>
          <w:lang w:eastAsia="zh-CN"/>
        </w:rPr>
        <w:t>Low-Low bands inter-band CA via switching</w:t>
      </w:r>
      <w:r>
        <w:rPr>
          <w:rFonts w:eastAsiaTheme="minorEastAsia"/>
          <w:b/>
          <w:sz w:val="24"/>
          <w:szCs w:val="24"/>
          <w:lang w:eastAsia="zh-CN"/>
        </w:rPr>
        <w:t>,</w:t>
      </w:r>
      <w:r w:rsidRPr="003A744C">
        <w:rPr>
          <w:rFonts w:eastAsiaTheme="minorEastAsia"/>
          <w:b/>
          <w:sz w:val="24"/>
          <w:szCs w:val="24"/>
          <w:lang w:eastAsia="zh-CN"/>
        </w:rPr>
        <w:t xml:space="preserve"> </w:t>
      </w:r>
      <w:r>
        <w:rPr>
          <w:rFonts w:eastAsiaTheme="minorEastAsia"/>
          <w:b/>
          <w:sz w:val="24"/>
          <w:szCs w:val="24"/>
          <w:lang w:eastAsia="zh-CN"/>
        </w:rPr>
        <w:t xml:space="preserve">it’s possible to </w:t>
      </w:r>
      <w:r w:rsidRPr="003A744C">
        <w:rPr>
          <w:rFonts w:eastAsiaTheme="minorEastAsia"/>
          <w:b/>
          <w:sz w:val="24"/>
          <w:szCs w:val="24"/>
          <w:lang w:eastAsia="zh-CN"/>
        </w:rPr>
        <w:t>design a new DL RMC to verify the REFSENS requirements and the DL receiving performance for UE before and/or after the Switching gap together</w:t>
      </w:r>
      <w:r w:rsidR="00DE1AE5">
        <w:rPr>
          <w:rFonts w:eastAsiaTheme="minorEastAsia"/>
          <w:b/>
          <w:sz w:val="24"/>
          <w:szCs w:val="24"/>
          <w:lang w:eastAsia="zh-CN"/>
        </w:rPr>
        <w:t>.</w:t>
      </w:r>
    </w:p>
    <w:p w14:paraId="4185BA25" w14:textId="10D22D73" w:rsidR="002D22DF" w:rsidRDefault="00302656" w:rsidP="009267C2">
      <w:pPr>
        <w:pStyle w:val="B1"/>
        <w:ind w:left="0" w:firstLine="0"/>
        <w:rPr>
          <w:rFonts w:eastAsiaTheme="minorEastAsia"/>
          <w:sz w:val="24"/>
          <w:szCs w:val="24"/>
          <w:lang w:eastAsia="zh-CN"/>
        </w:rPr>
      </w:pPr>
      <w:r>
        <w:rPr>
          <w:rFonts w:eastAsiaTheme="minorEastAsia"/>
          <w:sz w:val="24"/>
          <w:szCs w:val="24"/>
          <w:lang w:eastAsia="zh-CN"/>
        </w:rPr>
        <w:t>In order to verify the DL REFSENS requirements and DL receiving performance for UE</w:t>
      </w:r>
      <w:r>
        <w:rPr>
          <w:rFonts w:eastAsiaTheme="minorEastAsia" w:hint="eastAsia"/>
          <w:sz w:val="24"/>
          <w:szCs w:val="24"/>
          <w:lang w:eastAsia="zh-CN"/>
        </w:rPr>
        <w:t xml:space="preserve"> </w:t>
      </w:r>
      <w:r>
        <w:rPr>
          <w:rFonts w:eastAsiaTheme="minorEastAsia"/>
          <w:sz w:val="24"/>
          <w:szCs w:val="24"/>
          <w:lang w:eastAsia="zh-CN"/>
        </w:rPr>
        <w:t>before and/or after the Switching gap, it’s proposed to schedule the DL switch-from slot</w:t>
      </w:r>
      <w:r w:rsidR="0000311D">
        <w:rPr>
          <w:rFonts w:eastAsiaTheme="minorEastAsia"/>
          <w:sz w:val="24"/>
          <w:szCs w:val="24"/>
          <w:lang w:eastAsia="zh-CN"/>
        </w:rPr>
        <w:t>s</w:t>
      </w:r>
      <w:r>
        <w:rPr>
          <w:rFonts w:eastAsiaTheme="minorEastAsia"/>
          <w:sz w:val="24"/>
          <w:szCs w:val="24"/>
          <w:lang w:eastAsia="zh-CN"/>
        </w:rPr>
        <w:t xml:space="preserve"> and switch-to slot</w:t>
      </w:r>
      <w:r w:rsidR="0000311D">
        <w:rPr>
          <w:rFonts w:eastAsiaTheme="minorEastAsia"/>
          <w:sz w:val="24"/>
          <w:szCs w:val="24"/>
          <w:lang w:eastAsia="zh-CN"/>
        </w:rPr>
        <w:t>s</w:t>
      </w:r>
      <w:r>
        <w:rPr>
          <w:rFonts w:eastAsiaTheme="minorEastAsia"/>
          <w:sz w:val="24"/>
          <w:szCs w:val="24"/>
          <w:lang w:eastAsia="zh-CN"/>
        </w:rPr>
        <w:t xml:space="preserve"> for the DL RMC.</w:t>
      </w:r>
    </w:p>
    <w:p w14:paraId="31AE72B2" w14:textId="0A4058AE" w:rsidR="00302656" w:rsidRDefault="00302656" w:rsidP="009267C2">
      <w:pPr>
        <w:pStyle w:val="B1"/>
        <w:ind w:left="0" w:firstLine="0"/>
        <w:rPr>
          <w:rFonts w:eastAsiaTheme="minorEastAsia"/>
          <w:sz w:val="24"/>
          <w:szCs w:val="24"/>
          <w:lang w:eastAsia="zh-CN"/>
        </w:rPr>
      </w:pPr>
      <w:r>
        <w:rPr>
          <w:rFonts w:eastAsiaTheme="minorEastAsia" w:hint="eastAsia"/>
          <w:sz w:val="24"/>
          <w:szCs w:val="24"/>
          <w:lang w:eastAsia="zh-CN"/>
        </w:rPr>
        <w:t>C</w:t>
      </w:r>
      <w:r>
        <w:rPr>
          <w:rFonts w:eastAsiaTheme="minorEastAsia"/>
          <w:sz w:val="24"/>
          <w:szCs w:val="24"/>
          <w:lang w:eastAsia="zh-CN"/>
        </w:rPr>
        <w:t>onsidering the worst case and simplifying the specification, it’s proposed to configure two symbols PDSCH mapping Type B for DL RMC</w:t>
      </w:r>
      <w:r w:rsidR="0000311D">
        <w:rPr>
          <w:rFonts w:eastAsiaTheme="minorEastAsia"/>
          <w:sz w:val="24"/>
          <w:szCs w:val="24"/>
          <w:lang w:eastAsia="zh-CN"/>
        </w:rPr>
        <w:t xml:space="preserve"> referring to the table </w:t>
      </w:r>
      <w:r w:rsidR="0000311D" w:rsidRPr="0000311D">
        <w:rPr>
          <w:rFonts w:eastAsiaTheme="minorEastAsia"/>
          <w:sz w:val="24"/>
          <w:szCs w:val="24"/>
          <w:lang w:eastAsia="zh-CN"/>
        </w:rPr>
        <w:t xml:space="preserve">5.1.2.1-1 of </w:t>
      </w:r>
      <w:r w:rsidR="0000311D">
        <w:rPr>
          <w:rFonts w:eastAsiaTheme="minorEastAsia"/>
          <w:sz w:val="24"/>
          <w:szCs w:val="24"/>
          <w:lang w:eastAsia="zh-CN"/>
        </w:rPr>
        <w:t>TS 38.214</w:t>
      </w:r>
      <w:r>
        <w:rPr>
          <w:rFonts w:eastAsiaTheme="minorEastAsia"/>
          <w:sz w:val="24"/>
          <w:szCs w:val="24"/>
          <w:lang w:eastAsia="zh-CN"/>
        </w:rPr>
        <w:t>.</w:t>
      </w:r>
      <w:r w:rsidR="0061465A">
        <w:rPr>
          <w:rFonts w:eastAsiaTheme="minorEastAsia"/>
          <w:sz w:val="24"/>
          <w:szCs w:val="24"/>
          <w:lang w:eastAsia="zh-CN"/>
        </w:rPr>
        <w:t xml:space="preserve"> It’s better to configure the same length of symbols in all the DL switch-from slot</w:t>
      </w:r>
      <w:r w:rsidR="0000311D">
        <w:rPr>
          <w:rFonts w:eastAsiaTheme="minorEastAsia"/>
          <w:sz w:val="24"/>
          <w:szCs w:val="24"/>
          <w:lang w:eastAsia="zh-CN"/>
        </w:rPr>
        <w:t>s</w:t>
      </w:r>
      <w:r w:rsidR="0061465A">
        <w:rPr>
          <w:rFonts w:eastAsiaTheme="minorEastAsia"/>
          <w:sz w:val="24"/>
          <w:szCs w:val="24"/>
          <w:lang w:eastAsia="zh-CN"/>
        </w:rPr>
        <w:t xml:space="preserve"> and switch-to slot</w:t>
      </w:r>
      <w:r w:rsidR="0000311D">
        <w:rPr>
          <w:rFonts w:eastAsiaTheme="minorEastAsia"/>
          <w:sz w:val="24"/>
          <w:szCs w:val="24"/>
          <w:lang w:eastAsia="zh-CN"/>
        </w:rPr>
        <w:t>s</w:t>
      </w:r>
      <w:r w:rsidR="0061465A">
        <w:rPr>
          <w:rFonts w:eastAsiaTheme="minorEastAsia"/>
          <w:sz w:val="24"/>
          <w:szCs w:val="24"/>
          <w:lang w:eastAsia="zh-CN"/>
        </w:rPr>
        <w:t>.</w:t>
      </w:r>
    </w:p>
    <w:tbl>
      <w:tblPr>
        <w:tblStyle w:val="a6"/>
        <w:tblW w:w="0" w:type="auto"/>
        <w:tblLook w:val="04A0" w:firstRow="1" w:lastRow="0" w:firstColumn="1" w:lastColumn="0" w:noHBand="0" w:noVBand="1"/>
      </w:tblPr>
      <w:tblGrid>
        <w:gridCol w:w="10683"/>
      </w:tblGrid>
      <w:tr w:rsidR="0061465A" w14:paraId="329D64DE" w14:textId="77777777" w:rsidTr="0061465A">
        <w:tc>
          <w:tcPr>
            <w:tcW w:w="10683" w:type="dxa"/>
          </w:tcPr>
          <w:p w14:paraId="5B335DBB" w14:textId="77777777" w:rsidR="0061465A" w:rsidRPr="008A326E" w:rsidRDefault="0061465A" w:rsidP="0061465A">
            <w:pPr>
              <w:pStyle w:val="TH"/>
              <w:rPr>
                <w:color w:val="000000"/>
              </w:rPr>
            </w:pPr>
            <w:bookmarkStart w:id="21" w:name="_Hlk508617520"/>
            <w:r w:rsidRPr="0048482F">
              <w:rPr>
                <w:color w:val="000000"/>
              </w:rPr>
              <w:lastRenderedPageBreak/>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61465A" w:rsidRPr="0048482F" w14:paraId="627C089C" w14:textId="77777777" w:rsidTr="00902E35">
              <w:trPr>
                <w:jc w:val="center"/>
              </w:trPr>
              <w:tc>
                <w:tcPr>
                  <w:tcW w:w="1582" w:type="dxa"/>
                  <w:vMerge w:val="restart"/>
                  <w:shd w:val="clear" w:color="auto" w:fill="auto"/>
                </w:tcPr>
                <w:p w14:paraId="5C9FBAE7" w14:textId="77777777" w:rsidR="0061465A" w:rsidRPr="00E17FE7" w:rsidRDefault="0061465A" w:rsidP="0061465A">
                  <w:pPr>
                    <w:pStyle w:val="TAH"/>
                    <w:rPr>
                      <w:rFonts w:eastAsia="Batang"/>
                      <w:color w:val="000000"/>
                    </w:rPr>
                  </w:pPr>
                  <w:r w:rsidRPr="00E17FE7">
                    <w:rPr>
                      <w:rFonts w:eastAsia="Batang"/>
                      <w:color w:val="000000"/>
                    </w:rPr>
                    <w:t>PDSCH mapping type</w:t>
                  </w:r>
                </w:p>
              </w:tc>
              <w:tc>
                <w:tcPr>
                  <w:tcW w:w="3944" w:type="dxa"/>
                  <w:gridSpan w:val="3"/>
                </w:tcPr>
                <w:p w14:paraId="76D2264D" w14:textId="77777777" w:rsidR="0061465A" w:rsidRPr="00E17FE7" w:rsidRDefault="0061465A" w:rsidP="0061465A">
                  <w:pPr>
                    <w:pStyle w:val="TAH"/>
                    <w:rPr>
                      <w:rFonts w:eastAsia="Batang"/>
                      <w:color w:val="000000"/>
                    </w:rPr>
                  </w:pPr>
                  <w:r w:rsidRPr="00E17FE7">
                    <w:rPr>
                      <w:rFonts w:eastAsia="Batang"/>
                      <w:color w:val="000000"/>
                    </w:rPr>
                    <w:t>Normal cyclic prefix</w:t>
                  </w:r>
                </w:p>
              </w:tc>
              <w:tc>
                <w:tcPr>
                  <w:tcW w:w="4103" w:type="dxa"/>
                  <w:gridSpan w:val="3"/>
                </w:tcPr>
                <w:p w14:paraId="771457DF" w14:textId="77777777" w:rsidR="0061465A" w:rsidRPr="00E17FE7" w:rsidRDefault="0061465A" w:rsidP="0061465A">
                  <w:pPr>
                    <w:pStyle w:val="TAH"/>
                    <w:rPr>
                      <w:rFonts w:eastAsia="Batang"/>
                      <w:color w:val="000000"/>
                    </w:rPr>
                  </w:pPr>
                  <w:r w:rsidRPr="00E17FE7">
                    <w:rPr>
                      <w:rFonts w:eastAsia="Batang"/>
                      <w:color w:val="000000"/>
                    </w:rPr>
                    <w:t>Extended cyclic prefix</w:t>
                  </w:r>
                </w:p>
              </w:tc>
            </w:tr>
            <w:tr w:rsidR="0061465A" w:rsidRPr="0048482F" w14:paraId="2C147B78" w14:textId="77777777" w:rsidTr="00902E35">
              <w:trPr>
                <w:jc w:val="center"/>
              </w:trPr>
              <w:tc>
                <w:tcPr>
                  <w:tcW w:w="1582" w:type="dxa"/>
                  <w:vMerge/>
                  <w:shd w:val="clear" w:color="auto" w:fill="auto"/>
                </w:tcPr>
                <w:p w14:paraId="4B633997" w14:textId="77777777" w:rsidR="0061465A" w:rsidRPr="00E17FE7" w:rsidRDefault="0061465A" w:rsidP="0061465A">
                  <w:pPr>
                    <w:pStyle w:val="TAH"/>
                    <w:rPr>
                      <w:rFonts w:eastAsia="Batang"/>
                      <w:color w:val="000000"/>
                    </w:rPr>
                  </w:pPr>
                </w:p>
              </w:tc>
              <w:tc>
                <w:tcPr>
                  <w:tcW w:w="1107" w:type="dxa"/>
                </w:tcPr>
                <w:p w14:paraId="38A5256E" w14:textId="77777777" w:rsidR="0061465A" w:rsidRPr="00E17FE7" w:rsidRDefault="0061465A" w:rsidP="0061465A">
                  <w:pPr>
                    <w:pStyle w:val="TAH"/>
                    <w:rPr>
                      <w:rFonts w:eastAsia="Batang"/>
                      <w:i/>
                      <w:color w:val="000000"/>
                    </w:rPr>
                  </w:pPr>
                  <w:r w:rsidRPr="00E17FE7">
                    <w:rPr>
                      <w:rFonts w:eastAsia="Batang"/>
                      <w:i/>
                      <w:color w:val="000000"/>
                    </w:rPr>
                    <w:t>S</w:t>
                  </w:r>
                </w:p>
              </w:tc>
              <w:tc>
                <w:tcPr>
                  <w:tcW w:w="1134" w:type="dxa"/>
                  <w:shd w:val="clear" w:color="auto" w:fill="auto"/>
                </w:tcPr>
                <w:p w14:paraId="3299C30E" w14:textId="77777777" w:rsidR="0061465A" w:rsidRPr="00E17FE7" w:rsidRDefault="0061465A" w:rsidP="0061465A">
                  <w:pPr>
                    <w:pStyle w:val="TAH"/>
                    <w:rPr>
                      <w:rFonts w:eastAsia="Batang"/>
                      <w:i/>
                      <w:color w:val="000000"/>
                    </w:rPr>
                  </w:pPr>
                  <w:r w:rsidRPr="00E17FE7">
                    <w:rPr>
                      <w:rFonts w:eastAsia="Batang"/>
                      <w:i/>
                      <w:color w:val="000000"/>
                    </w:rPr>
                    <w:t>L</w:t>
                  </w:r>
                </w:p>
              </w:tc>
              <w:tc>
                <w:tcPr>
                  <w:tcW w:w="1703" w:type="dxa"/>
                </w:tcPr>
                <w:p w14:paraId="4FDCBE9C" w14:textId="77777777" w:rsidR="0061465A" w:rsidRPr="00E17FE7" w:rsidRDefault="0061465A" w:rsidP="0061465A">
                  <w:pPr>
                    <w:pStyle w:val="TAH"/>
                    <w:rPr>
                      <w:rFonts w:eastAsia="Batang"/>
                      <w:i/>
                      <w:color w:val="000000"/>
                    </w:rPr>
                  </w:pPr>
                  <w:r w:rsidRPr="00E17FE7">
                    <w:rPr>
                      <w:rFonts w:eastAsia="Batang"/>
                      <w:i/>
                      <w:color w:val="000000"/>
                    </w:rPr>
                    <w:t>S+L</w:t>
                  </w:r>
                </w:p>
              </w:tc>
              <w:tc>
                <w:tcPr>
                  <w:tcW w:w="1132" w:type="dxa"/>
                </w:tcPr>
                <w:p w14:paraId="62894E4C" w14:textId="77777777" w:rsidR="0061465A" w:rsidRPr="00E17FE7" w:rsidRDefault="0061465A" w:rsidP="0061465A">
                  <w:pPr>
                    <w:pStyle w:val="TAH"/>
                    <w:rPr>
                      <w:rFonts w:eastAsia="Batang"/>
                      <w:i/>
                      <w:color w:val="000000"/>
                    </w:rPr>
                  </w:pPr>
                  <w:r w:rsidRPr="00E17FE7">
                    <w:rPr>
                      <w:rFonts w:eastAsia="Batang"/>
                      <w:i/>
                      <w:color w:val="000000"/>
                    </w:rPr>
                    <w:t>S</w:t>
                  </w:r>
                </w:p>
              </w:tc>
              <w:tc>
                <w:tcPr>
                  <w:tcW w:w="1134" w:type="dxa"/>
                </w:tcPr>
                <w:p w14:paraId="488D9B77" w14:textId="77777777" w:rsidR="0061465A" w:rsidRPr="00E17FE7" w:rsidRDefault="0061465A" w:rsidP="0061465A">
                  <w:pPr>
                    <w:pStyle w:val="TAH"/>
                    <w:rPr>
                      <w:rFonts w:eastAsia="Batang"/>
                      <w:i/>
                      <w:color w:val="000000"/>
                    </w:rPr>
                  </w:pPr>
                  <w:r w:rsidRPr="00E17FE7">
                    <w:rPr>
                      <w:rFonts w:eastAsia="Batang"/>
                      <w:i/>
                      <w:color w:val="000000"/>
                    </w:rPr>
                    <w:t>L</w:t>
                  </w:r>
                </w:p>
              </w:tc>
              <w:tc>
                <w:tcPr>
                  <w:tcW w:w="1837" w:type="dxa"/>
                </w:tcPr>
                <w:p w14:paraId="7B92069C" w14:textId="77777777" w:rsidR="0061465A" w:rsidRPr="00E17FE7" w:rsidRDefault="0061465A" w:rsidP="0061465A">
                  <w:pPr>
                    <w:pStyle w:val="TAH"/>
                    <w:rPr>
                      <w:rFonts w:eastAsia="Batang"/>
                      <w:i/>
                      <w:color w:val="000000"/>
                    </w:rPr>
                  </w:pPr>
                  <w:r w:rsidRPr="00E17FE7">
                    <w:rPr>
                      <w:rFonts w:eastAsia="Batang"/>
                      <w:i/>
                      <w:color w:val="000000"/>
                    </w:rPr>
                    <w:t>S+L</w:t>
                  </w:r>
                </w:p>
              </w:tc>
            </w:tr>
            <w:tr w:rsidR="0061465A" w:rsidRPr="0048482F" w14:paraId="05CF4BED" w14:textId="77777777" w:rsidTr="00902E35">
              <w:trPr>
                <w:jc w:val="center"/>
              </w:trPr>
              <w:tc>
                <w:tcPr>
                  <w:tcW w:w="1582" w:type="dxa"/>
                  <w:shd w:val="clear" w:color="auto" w:fill="auto"/>
                </w:tcPr>
                <w:p w14:paraId="28D17A8B" w14:textId="77777777" w:rsidR="0061465A" w:rsidRPr="00E17FE7" w:rsidRDefault="0061465A" w:rsidP="0061465A">
                  <w:pPr>
                    <w:pStyle w:val="TAC"/>
                    <w:rPr>
                      <w:rFonts w:eastAsia="Batang"/>
                      <w:color w:val="000000"/>
                    </w:rPr>
                  </w:pPr>
                  <w:r w:rsidRPr="00E17FE7">
                    <w:rPr>
                      <w:rFonts w:eastAsia="Batang"/>
                      <w:color w:val="000000"/>
                    </w:rPr>
                    <w:t>Type A</w:t>
                  </w:r>
                </w:p>
              </w:tc>
              <w:tc>
                <w:tcPr>
                  <w:tcW w:w="1107" w:type="dxa"/>
                </w:tcPr>
                <w:p w14:paraId="0756F912" w14:textId="77777777" w:rsidR="0061465A" w:rsidRDefault="0061465A" w:rsidP="0061465A">
                  <w:pPr>
                    <w:pStyle w:val="TAC"/>
                    <w:rPr>
                      <w:rFonts w:eastAsia="Batang"/>
                      <w:color w:val="000000"/>
                    </w:rPr>
                  </w:pPr>
                  <w:r w:rsidRPr="00E17FE7">
                    <w:rPr>
                      <w:rFonts w:eastAsia="Batang"/>
                      <w:color w:val="000000"/>
                    </w:rPr>
                    <w:t>{0,1,2,3}</w:t>
                  </w:r>
                </w:p>
                <w:p w14:paraId="2E9DE176" w14:textId="77777777" w:rsidR="0061465A" w:rsidRPr="00E17FE7" w:rsidRDefault="0061465A" w:rsidP="0061465A">
                  <w:pPr>
                    <w:pStyle w:val="TAC"/>
                    <w:rPr>
                      <w:rFonts w:eastAsia="Batang"/>
                      <w:color w:val="000000"/>
                    </w:rPr>
                  </w:pPr>
                  <w:r>
                    <w:rPr>
                      <w:rFonts w:eastAsia="Batang"/>
                      <w:color w:val="000000"/>
                    </w:rPr>
                    <w:t>(Note 1)</w:t>
                  </w:r>
                </w:p>
              </w:tc>
              <w:tc>
                <w:tcPr>
                  <w:tcW w:w="1134" w:type="dxa"/>
                  <w:shd w:val="clear" w:color="auto" w:fill="auto"/>
                </w:tcPr>
                <w:p w14:paraId="79DF2F00" w14:textId="77777777" w:rsidR="0061465A" w:rsidRPr="00E17FE7" w:rsidRDefault="0061465A" w:rsidP="0061465A">
                  <w:pPr>
                    <w:pStyle w:val="TAC"/>
                    <w:rPr>
                      <w:rFonts w:eastAsia="Batang"/>
                      <w:color w:val="000000"/>
                    </w:rPr>
                  </w:pPr>
                  <w:r w:rsidRPr="00E17FE7">
                    <w:rPr>
                      <w:rFonts w:eastAsia="Batang"/>
                      <w:color w:val="000000"/>
                    </w:rPr>
                    <w:t>{3,…,14}</w:t>
                  </w:r>
                </w:p>
              </w:tc>
              <w:tc>
                <w:tcPr>
                  <w:tcW w:w="1703" w:type="dxa"/>
                </w:tcPr>
                <w:p w14:paraId="021B099E" w14:textId="77777777" w:rsidR="0061465A" w:rsidRPr="00E17FE7" w:rsidRDefault="0061465A" w:rsidP="0061465A">
                  <w:pPr>
                    <w:pStyle w:val="TAC"/>
                    <w:rPr>
                      <w:rFonts w:eastAsia="Batang"/>
                      <w:color w:val="000000"/>
                    </w:rPr>
                  </w:pPr>
                  <w:r w:rsidRPr="00E17FE7">
                    <w:rPr>
                      <w:rFonts w:eastAsia="Batang"/>
                      <w:color w:val="000000"/>
                    </w:rPr>
                    <w:t>{3,…,14}</w:t>
                  </w:r>
                </w:p>
              </w:tc>
              <w:tc>
                <w:tcPr>
                  <w:tcW w:w="1132" w:type="dxa"/>
                </w:tcPr>
                <w:p w14:paraId="624C9430" w14:textId="77777777" w:rsidR="0061465A" w:rsidRDefault="0061465A" w:rsidP="0061465A">
                  <w:pPr>
                    <w:pStyle w:val="TAC"/>
                    <w:rPr>
                      <w:rFonts w:eastAsia="Batang"/>
                      <w:color w:val="000000"/>
                    </w:rPr>
                  </w:pPr>
                  <w:r w:rsidRPr="00E17FE7">
                    <w:rPr>
                      <w:rFonts w:eastAsia="Batang"/>
                      <w:color w:val="000000"/>
                    </w:rPr>
                    <w:t>{0,1,2,3}</w:t>
                  </w:r>
                </w:p>
                <w:p w14:paraId="2EDDF292" w14:textId="77777777" w:rsidR="0061465A" w:rsidRPr="00E17FE7" w:rsidRDefault="0061465A" w:rsidP="0061465A">
                  <w:pPr>
                    <w:pStyle w:val="TAC"/>
                    <w:rPr>
                      <w:rFonts w:eastAsia="Batang"/>
                      <w:color w:val="000000"/>
                    </w:rPr>
                  </w:pPr>
                  <w:r>
                    <w:rPr>
                      <w:rFonts w:eastAsia="Batang"/>
                      <w:color w:val="000000"/>
                    </w:rPr>
                    <w:t>(Note 1)</w:t>
                  </w:r>
                </w:p>
              </w:tc>
              <w:tc>
                <w:tcPr>
                  <w:tcW w:w="1134" w:type="dxa"/>
                </w:tcPr>
                <w:p w14:paraId="13AFA28F" w14:textId="77777777" w:rsidR="0061465A" w:rsidRPr="00E17FE7" w:rsidRDefault="0061465A" w:rsidP="0061465A">
                  <w:pPr>
                    <w:pStyle w:val="TAC"/>
                    <w:rPr>
                      <w:rFonts w:eastAsia="Batang"/>
                      <w:color w:val="000000"/>
                    </w:rPr>
                  </w:pPr>
                  <w:r w:rsidRPr="00E17FE7">
                    <w:rPr>
                      <w:rFonts w:eastAsia="Batang"/>
                      <w:color w:val="000000"/>
                    </w:rPr>
                    <w:t>{3,…,12}</w:t>
                  </w:r>
                </w:p>
              </w:tc>
              <w:tc>
                <w:tcPr>
                  <w:tcW w:w="1837" w:type="dxa"/>
                </w:tcPr>
                <w:p w14:paraId="53FC016B" w14:textId="77777777" w:rsidR="0061465A" w:rsidRPr="00E17FE7" w:rsidRDefault="0061465A" w:rsidP="0061465A">
                  <w:pPr>
                    <w:pStyle w:val="TAC"/>
                    <w:rPr>
                      <w:rFonts w:eastAsia="Batang"/>
                      <w:color w:val="000000"/>
                    </w:rPr>
                  </w:pPr>
                  <w:r w:rsidRPr="00E17FE7">
                    <w:rPr>
                      <w:rFonts w:eastAsia="Batang"/>
                      <w:color w:val="000000"/>
                    </w:rPr>
                    <w:t>{3,…,12}</w:t>
                  </w:r>
                </w:p>
              </w:tc>
            </w:tr>
            <w:tr w:rsidR="0061465A" w:rsidRPr="0048482F" w14:paraId="0EA50035" w14:textId="77777777" w:rsidTr="00902E35">
              <w:trPr>
                <w:jc w:val="center"/>
              </w:trPr>
              <w:tc>
                <w:tcPr>
                  <w:tcW w:w="1582" w:type="dxa"/>
                  <w:shd w:val="clear" w:color="auto" w:fill="auto"/>
                </w:tcPr>
                <w:p w14:paraId="7CA085B5" w14:textId="77777777" w:rsidR="0061465A" w:rsidRPr="00E17FE7" w:rsidRDefault="0061465A" w:rsidP="0061465A">
                  <w:pPr>
                    <w:pStyle w:val="TAC"/>
                    <w:rPr>
                      <w:rFonts w:eastAsia="Batang"/>
                      <w:color w:val="000000"/>
                    </w:rPr>
                  </w:pPr>
                  <w:r w:rsidRPr="00E17FE7">
                    <w:rPr>
                      <w:rFonts w:eastAsia="Batang"/>
                      <w:color w:val="000000"/>
                    </w:rPr>
                    <w:t>Type B</w:t>
                  </w:r>
                </w:p>
              </w:tc>
              <w:tc>
                <w:tcPr>
                  <w:tcW w:w="1107" w:type="dxa"/>
                </w:tcPr>
                <w:p w14:paraId="35365CF4" w14:textId="77777777" w:rsidR="0061465A" w:rsidRPr="00E17FE7" w:rsidRDefault="0061465A" w:rsidP="0061465A">
                  <w:pPr>
                    <w:pStyle w:val="TAC"/>
                    <w:rPr>
                      <w:rFonts w:eastAsia="Batang"/>
                      <w:color w:val="000000"/>
                    </w:rPr>
                  </w:pPr>
                  <w:r w:rsidRPr="00E17FE7">
                    <w:rPr>
                      <w:rFonts w:eastAsia="Batang"/>
                      <w:color w:val="000000"/>
                    </w:rPr>
                    <w:t>{0,…,12}</w:t>
                  </w:r>
                </w:p>
              </w:tc>
              <w:tc>
                <w:tcPr>
                  <w:tcW w:w="1134" w:type="dxa"/>
                  <w:shd w:val="clear" w:color="auto" w:fill="auto"/>
                </w:tcPr>
                <w:p w14:paraId="0198BB36" w14:textId="77777777" w:rsidR="0061465A" w:rsidRPr="00E17FE7" w:rsidRDefault="0061465A" w:rsidP="0061465A">
                  <w:pPr>
                    <w:pStyle w:val="TAC"/>
                    <w:rPr>
                      <w:rFonts w:eastAsia="Batang"/>
                      <w:color w:val="000000"/>
                    </w:rPr>
                  </w:pPr>
                  <w:r w:rsidRPr="00E17FE7">
                    <w:rPr>
                      <w:rFonts w:eastAsia="Batang"/>
                      <w:color w:val="000000"/>
                    </w:rPr>
                    <w:t>{</w:t>
                  </w:r>
                  <w:r w:rsidRPr="0061465A">
                    <w:rPr>
                      <w:rFonts w:eastAsia="Batang"/>
                      <w:color w:val="FF0000"/>
                    </w:rPr>
                    <w:t>2</w:t>
                  </w:r>
                  <w:r w:rsidRPr="00E17FE7">
                    <w:rPr>
                      <w:rFonts w:eastAsia="Batang"/>
                      <w:color w:val="000000"/>
                    </w:rPr>
                    <w:t>,4,7}</w:t>
                  </w:r>
                </w:p>
              </w:tc>
              <w:tc>
                <w:tcPr>
                  <w:tcW w:w="1703" w:type="dxa"/>
                </w:tcPr>
                <w:p w14:paraId="5B52AD6E" w14:textId="77777777" w:rsidR="0061465A" w:rsidRPr="00E17FE7" w:rsidRDefault="0061465A" w:rsidP="0061465A">
                  <w:pPr>
                    <w:pStyle w:val="TAC"/>
                    <w:rPr>
                      <w:rFonts w:eastAsia="Batang"/>
                      <w:color w:val="000000"/>
                    </w:rPr>
                  </w:pPr>
                  <w:r w:rsidRPr="00E17FE7">
                    <w:rPr>
                      <w:rFonts w:eastAsia="Batang"/>
                      <w:color w:val="000000"/>
                    </w:rPr>
                    <w:t>{2,…,14}</w:t>
                  </w:r>
                </w:p>
              </w:tc>
              <w:tc>
                <w:tcPr>
                  <w:tcW w:w="1132" w:type="dxa"/>
                </w:tcPr>
                <w:p w14:paraId="0DD43240" w14:textId="77777777" w:rsidR="0061465A" w:rsidRPr="00E17FE7" w:rsidRDefault="0061465A" w:rsidP="0061465A">
                  <w:pPr>
                    <w:pStyle w:val="TAC"/>
                    <w:rPr>
                      <w:rFonts w:eastAsia="Batang"/>
                      <w:color w:val="000000"/>
                    </w:rPr>
                  </w:pPr>
                  <w:r w:rsidRPr="00E17FE7">
                    <w:rPr>
                      <w:rFonts w:eastAsia="Batang"/>
                      <w:color w:val="000000"/>
                    </w:rPr>
                    <w:t>{0,…,10}</w:t>
                  </w:r>
                </w:p>
              </w:tc>
              <w:tc>
                <w:tcPr>
                  <w:tcW w:w="1134" w:type="dxa"/>
                </w:tcPr>
                <w:p w14:paraId="209885A9" w14:textId="77777777" w:rsidR="0061465A" w:rsidRPr="00E17FE7" w:rsidRDefault="0061465A" w:rsidP="0061465A">
                  <w:pPr>
                    <w:pStyle w:val="TAC"/>
                    <w:rPr>
                      <w:rFonts w:eastAsia="Batang"/>
                      <w:color w:val="000000"/>
                    </w:rPr>
                  </w:pPr>
                  <w:r w:rsidRPr="00E17FE7">
                    <w:rPr>
                      <w:rFonts w:eastAsia="Batang"/>
                      <w:color w:val="000000"/>
                    </w:rPr>
                    <w:t>{2,4,6}</w:t>
                  </w:r>
                </w:p>
              </w:tc>
              <w:tc>
                <w:tcPr>
                  <w:tcW w:w="1837" w:type="dxa"/>
                </w:tcPr>
                <w:p w14:paraId="164C7804" w14:textId="77777777" w:rsidR="0061465A" w:rsidRPr="00E17FE7" w:rsidRDefault="0061465A" w:rsidP="0061465A">
                  <w:pPr>
                    <w:pStyle w:val="TAC"/>
                    <w:rPr>
                      <w:rFonts w:eastAsia="Batang"/>
                      <w:color w:val="000000"/>
                    </w:rPr>
                  </w:pPr>
                  <w:r w:rsidRPr="00E17FE7">
                    <w:rPr>
                      <w:rFonts w:eastAsia="Batang"/>
                      <w:color w:val="000000"/>
                    </w:rPr>
                    <w:t>{2,…,12}</w:t>
                  </w:r>
                </w:p>
              </w:tc>
            </w:tr>
            <w:tr w:rsidR="0061465A" w:rsidRPr="0048482F" w14:paraId="520091F1" w14:textId="77777777" w:rsidTr="00902E35">
              <w:trPr>
                <w:jc w:val="center"/>
              </w:trPr>
              <w:tc>
                <w:tcPr>
                  <w:tcW w:w="9629" w:type="dxa"/>
                  <w:gridSpan w:val="7"/>
                  <w:shd w:val="clear" w:color="auto" w:fill="auto"/>
                </w:tcPr>
                <w:p w14:paraId="6B05A10E" w14:textId="77777777" w:rsidR="0061465A" w:rsidRPr="00B242D4" w:rsidRDefault="0061465A" w:rsidP="0061465A">
                  <w:pPr>
                    <w:pStyle w:val="TAN"/>
                  </w:pPr>
                  <w:r>
                    <w:rPr>
                      <w:rFonts w:eastAsia="Batang"/>
                    </w:rPr>
                    <w:t>Note 1:</w:t>
                  </w:r>
                  <w:r>
                    <w:rPr>
                      <w:rFonts w:eastAsia="Batang"/>
                    </w:rPr>
                    <w:tab/>
                    <w:t xml:space="preserve">S = 3 is applicable only if </w:t>
                  </w:r>
                  <w:r w:rsidRPr="003831E3">
                    <w:rPr>
                      <w:rFonts w:eastAsia="Batang"/>
                      <w:i/>
                    </w:rPr>
                    <w:t>dmrs-TypeA-P</w:t>
                  </w:r>
                  <w:r>
                    <w:rPr>
                      <w:rFonts w:eastAsia="Batang"/>
                      <w:i/>
                    </w:rPr>
                    <w:t>o</w:t>
                  </w:r>
                  <w:r w:rsidRPr="003831E3">
                    <w:rPr>
                      <w:rFonts w:eastAsia="Batang"/>
                      <w:i/>
                    </w:rPr>
                    <w:t>sition</w:t>
                  </w:r>
                  <w:r>
                    <w:rPr>
                      <w:rFonts w:eastAsia="Batang"/>
                    </w:rPr>
                    <w:t xml:space="preserve"> = 3</w:t>
                  </w:r>
                </w:p>
              </w:tc>
            </w:tr>
            <w:bookmarkEnd w:id="21"/>
          </w:tbl>
          <w:p w14:paraId="37FAFBDF" w14:textId="77777777" w:rsidR="0061465A" w:rsidRPr="0061465A" w:rsidRDefault="0061465A" w:rsidP="009267C2">
            <w:pPr>
              <w:pStyle w:val="B1"/>
              <w:ind w:left="0" w:firstLine="0"/>
              <w:rPr>
                <w:rFonts w:eastAsiaTheme="minorEastAsia"/>
                <w:sz w:val="24"/>
                <w:szCs w:val="24"/>
                <w:lang w:eastAsia="zh-CN"/>
              </w:rPr>
            </w:pPr>
          </w:p>
        </w:tc>
      </w:tr>
    </w:tbl>
    <w:p w14:paraId="0D0C7F8F" w14:textId="4CF12929" w:rsidR="00DB49F2" w:rsidRPr="00902E35" w:rsidRDefault="00902E35" w:rsidP="00902E35">
      <w:pPr>
        <w:pStyle w:val="B1"/>
        <w:ind w:left="0" w:firstLine="0"/>
        <w:rPr>
          <w:rFonts w:eastAsiaTheme="minorEastAsia"/>
          <w:sz w:val="24"/>
          <w:szCs w:val="24"/>
          <w:lang w:eastAsia="zh-CN"/>
        </w:rPr>
      </w:pPr>
      <w:r w:rsidRPr="00902E35">
        <w:rPr>
          <w:rFonts w:eastAsia="Arial Unicode MS"/>
          <w:sz w:val="24"/>
          <w:szCs w:val="24"/>
          <w:lang w:eastAsia="zh-CN"/>
        </w:rPr>
        <w:t xml:space="preserve">For the </w:t>
      </w:r>
      <w:r w:rsidRPr="00902E35">
        <w:rPr>
          <w:rFonts w:eastAsia="Arial Unicode MS"/>
          <w:i/>
          <w:sz w:val="24"/>
          <w:szCs w:val="24"/>
          <w:lang w:eastAsia="zh-CN"/>
        </w:rPr>
        <w:t>LBCA-SwitchingPattern</w:t>
      </w:r>
      <w:r w:rsidR="00CB3B69" w:rsidRPr="00902E35">
        <w:rPr>
          <w:rFonts w:eastAsia="Arial Unicode MS"/>
          <w:sz w:val="24"/>
          <w:szCs w:val="24"/>
          <w:lang w:eastAsia="zh-CN"/>
        </w:rPr>
        <w:t xml:space="preserve">, </w:t>
      </w:r>
      <w:r w:rsidR="00CB3B69" w:rsidRPr="00902E35">
        <w:rPr>
          <w:rFonts w:ascii="Arial Unicode MS" w:eastAsia="Arial Unicode MS" w:hAnsi="Arial Unicode MS" w:cs="Arial Unicode MS"/>
          <w:sz w:val="24"/>
          <w:szCs w:val="24"/>
          <w:lang w:eastAsia="zh-CN"/>
        </w:rPr>
        <w:t>it’s proposed to design the DL RM</w:t>
      </w:r>
      <w:r w:rsidR="003A744C" w:rsidRPr="00902E35">
        <w:rPr>
          <w:rFonts w:ascii="Arial Unicode MS" w:eastAsia="Arial Unicode MS" w:hAnsi="Arial Unicode MS" w:cs="Arial Unicode MS"/>
          <w:sz w:val="24"/>
          <w:szCs w:val="24"/>
          <w:lang w:eastAsia="zh-CN"/>
        </w:rPr>
        <w:t>C</w:t>
      </w:r>
      <w:r w:rsidR="00CB3B69" w:rsidRPr="00902E35">
        <w:rPr>
          <w:rFonts w:ascii="Arial Unicode MS" w:eastAsia="Arial Unicode MS" w:hAnsi="Arial Unicode MS" w:cs="Arial Unicode MS"/>
          <w:sz w:val="24"/>
          <w:szCs w:val="24"/>
          <w:lang w:eastAsia="zh-CN"/>
        </w:rPr>
        <w:t xml:space="preserve"> as ‘</w:t>
      </w:r>
      <w:r w:rsidR="00CB3B69" w:rsidRPr="00902E35">
        <w:rPr>
          <w:rFonts w:ascii="Arial Unicode MS" w:eastAsia="Arial Unicode MS" w:hAnsi="Arial Unicode MS" w:cs="Arial Unicode MS"/>
          <w:color w:val="FF0000"/>
          <w:sz w:val="24"/>
          <w:szCs w:val="24"/>
          <w:lang w:eastAsia="zh-CN"/>
        </w:rPr>
        <w:t>00</w:t>
      </w:r>
      <w:r w:rsidR="00CB3B69" w:rsidRPr="00902E35">
        <w:rPr>
          <w:rFonts w:ascii="Arial Unicode MS" w:eastAsia="Arial Unicode MS" w:hAnsi="Arial Unicode MS" w:cs="Arial Unicode MS"/>
          <w:sz w:val="24"/>
          <w:szCs w:val="24"/>
          <w:lang w:eastAsia="zh-CN"/>
        </w:rPr>
        <w:t>011 00110 0110</w:t>
      </w:r>
      <w:r w:rsidR="00CB3B69" w:rsidRPr="00902E35">
        <w:rPr>
          <w:rFonts w:eastAsiaTheme="minorEastAsia"/>
          <w:sz w:val="24"/>
          <w:szCs w:val="24"/>
          <w:lang w:eastAsia="zh-CN"/>
        </w:rPr>
        <w:t xml:space="preserve">0 11001 </w:t>
      </w:r>
      <w:r w:rsidR="00CB3B69" w:rsidRPr="00902E35">
        <w:rPr>
          <w:rFonts w:eastAsiaTheme="minorEastAsia"/>
          <w:color w:val="FF0000"/>
          <w:sz w:val="24"/>
          <w:szCs w:val="24"/>
          <w:lang w:eastAsia="zh-CN"/>
        </w:rPr>
        <w:t>11</w:t>
      </w:r>
      <w:r w:rsidR="00CB3B69" w:rsidRPr="00902E35">
        <w:rPr>
          <w:rFonts w:eastAsiaTheme="minorEastAsia"/>
          <w:sz w:val="24"/>
          <w:szCs w:val="24"/>
          <w:lang w:eastAsia="zh-CN"/>
        </w:rPr>
        <w:t>100 11001 10011 00110’</w:t>
      </w:r>
      <w:r w:rsidR="0000311D" w:rsidRPr="00902E35">
        <w:rPr>
          <w:rFonts w:eastAsiaTheme="minorEastAsia"/>
          <w:sz w:val="24"/>
          <w:szCs w:val="24"/>
          <w:lang w:eastAsia="zh-CN"/>
        </w:rPr>
        <w:t xml:space="preserve"> in order to increase DL samples (18 DL Slots for PCell and 18 DL Slots for SCell)</w:t>
      </w:r>
      <w:r w:rsidR="00CB3B69" w:rsidRPr="00902E35">
        <w:rPr>
          <w:rFonts w:eastAsiaTheme="minorEastAsia"/>
          <w:sz w:val="24"/>
          <w:szCs w:val="24"/>
          <w:lang w:eastAsia="zh-CN"/>
        </w:rPr>
        <w:t>. Before and/or after switching gaps (PCelltoSCell and SCelltoPCell), 2 symbols Type B</w:t>
      </w:r>
      <w:r w:rsidR="003A744C" w:rsidRPr="00902E35">
        <w:rPr>
          <w:rFonts w:eastAsiaTheme="minorEastAsia"/>
          <w:sz w:val="24"/>
          <w:szCs w:val="24"/>
          <w:lang w:eastAsia="zh-CN"/>
        </w:rPr>
        <w:t xml:space="preserve"> PDSCH is scheduled in the DL slots except for SSB slots. In addition, one symbol PDCCH is scheduled at the first symbol in each DL slot except for SSB slots. The diagram about DL RMC for Low-Low bands inter-band CA via switching is shown below.</w:t>
      </w:r>
    </w:p>
    <w:tbl>
      <w:tblPr>
        <w:tblStyle w:val="a6"/>
        <w:tblW w:w="0" w:type="auto"/>
        <w:tblLook w:val="04A0" w:firstRow="1" w:lastRow="0" w:firstColumn="1" w:lastColumn="0" w:noHBand="0" w:noVBand="1"/>
      </w:tblPr>
      <w:tblGrid>
        <w:gridCol w:w="10683"/>
      </w:tblGrid>
      <w:tr w:rsidR="00902E35" w14:paraId="4B73A8A9" w14:textId="77777777" w:rsidTr="00902E35">
        <w:tc>
          <w:tcPr>
            <w:tcW w:w="10683" w:type="dxa"/>
          </w:tcPr>
          <w:tbl>
            <w:tblPr>
              <w:tblpPr w:leftFromText="180" w:rightFromText="180" w:vertAnchor="text" w:horzAnchor="page" w:tblpXSpec="center" w:tblpY="-2510"/>
              <w:tblOverlap w:val="never"/>
              <w:tblW w:w="663" w:type="pct"/>
              <w:tblLook w:val="04A0" w:firstRow="1" w:lastRow="0" w:firstColumn="1" w:lastColumn="0" w:noHBand="0" w:noVBand="1"/>
            </w:tblPr>
            <w:tblGrid>
              <w:gridCol w:w="687"/>
              <w:gridCol w:w="837"/>
              <w:gridCol w:w="1537"/>
              <w:gridCol w:w="2177"/>
              <w:gridCol w:w="2177"/>
              <w:gridCol w:w="757"/>
            </w:tblGrid>
            <w:tr w:rsidR="00902E35" w:rsidRPr="00902E35" w14:paraId="6FAD27CC" w14:textId="77777777" w:rsidTr="00902E35">
              <w:trPr>
                <w:trHeight w:val="20"/>
              </w:trPr>
              <w:tc>
                <w:tcPr>
                  <w:tcW w:w="8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1A2BD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b/>
                      <w:bCs/>
                      <w:color w:val="000000"/>
                      <w:sz w:val="18"/>
                      <w:szCs w:val="18"/>
                      <w:lang w:val="en-US" w:eastAsia="zh-CN"/>
                    </w:rPr>
                  </w:pPr>
                  <w:r w:rsidRPr="00902E35">
                    <w:rPr>
                      <w:rFonts w:ascii="Arial" w:eastAsia="Arial Unicode MS" w:hAnsi="Arial" w:cs="Arial"/>
                      <w:b/>
                      <w:bCs/>
                      <w:color w:val="000000"/>
                      <w:sz w:val="18"/>
                      <w:szCs w:val="18"/>
                      <w:lang w:val="en-US" w:eastAsia="zh-CN"/>
                    </w:rPr>
                    <w:t>Slot Index</w:t>
                  </w:r>
                </w:p>
              </w:tc>
              <w:tc>
                <w:tcPr>
                  <w:tcW w:w="833" w:type="pct"/>
                  <w:tcBorders>
                    <w:top w:val="single" w:sz="4" w:space="0" w:color="auto"/>
                    <w:left w:val="nil"/>
                    <w:bottom w:val="single" w:sz="4" w:space="0" w:color="auto"/>
                    <w:right w:val="single" w:sz="4" w:space="0" w:color="auto"/>
                  </w:tcBorders>
                  <w:shd w:val="clear" w:color="auto" w:fill="auto"/>
                  <w:vAlign w:val="center"/>
                  <w:hideMark/>
                </w:tcPr>
                <w:p w14:paraId="1A11C0A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b/>
                      <w:bCs/>
                      <w:color w:val="000000"/>
                      <w:sz w:val="18"/>
                      <w:szCs w:val="18"/>
                      <w:lang w:val="en-US" w:eastAsia="zh-CN"/>
                    </w:rPr>
                  </w:pPr>
                  <w:r w:rsidRPr="00902E35">
                    <w:rPr>
                      <w:rFonts w:ascii="Arial" w:eastAsia="Arial Unicode MS" w:hAnsi="Arial" w:cs="Arial"/>
                      <w:b/>
                      <w:bCs/>
                      <w:color w:val="000000"/>
                      <w:sz w:val="18"/>
                      <w:szCs w:val="18"/>
                      <w:lang w:val="en-US" w:eastAsia="zh-CN"/>
                    </w:rPr>
                    <w:t>Pattern</w:t>
                  </w:r>
                </w:p>
              </w:tc>
              <w:tc>
                <w:tcPr>
                  <w:tcW w:w="833" w:type="pct"/>
                  <w:tcBorders>
                    <w:top w:val="single" w:sz="4" w:space="0" w:color="auto"/>
                    <w:left w:val="nil"/>
                    <w:bottom w:val="single" w:sz="4" w:space="0" w:color="auto"/>
                    <w:right w:val="single" w:sz="4" w:space="0" w:color="auto"/>
                  </w:tcBorders>
                  <w:shd w:val="clear" w:color="auto" w:fill="auto"/>
                  <w:noWrap/>
                  <w:vAlign w:val="center"/>
                  <w:hideMark/>
                </w:tcPr>
                <w:p w14:paraId="3617F0A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b/>
                      <w:bCs/>
                      <w:color w:val="000000"/>
                      <w:sz w:val="18"/>
                      <w:szCs w:val="18"/>
                      <w:lang w:val="en-US" w:eastAsia="zh-CN"/>
                    </w:rPr>
                  </w:pPr>
                  <w:r w:rsidRPr="00902E35">
                    <w:rPr>
                      <w:rFonts w:ascii="Arial" w:eastAsia="Arial Unicode MS" w:hAnsi="Arial" w:cs="Arial"/>
                      <w:b/>
                      <w:bCs/>
                      <w:color w:val="000000"/>
                      <w:sz w:val="18"/>
                      <w:szCs w:val="18"/>
                      <w:lang w:val="en-US" w:eastAsia="zh-CN"/>
                    </w:rPr>
                    <w:t>UL FDD band</w:t>
                  </w:r>
                </w:p>
              </w:tc>
              <w:tc>
                <w:tcPr>
                  <w:tcW w:w="833" w:type="pct"/>
                  <w:tcBorders>
                    <w:top w:val="single" w:sz="4" w:space="0" w:color="auto"/>
                    <w:left w:val="nil"/>
                    <w:bottom w:val="single" w:sz="4" w:space="0" w:color="auto"/>
                    <w:right w:val="single" w:sz="4" w:space="0" w:color="auto"/>
                  </w:tcBorders>
                  <w:shd w:val="clear" w:color="auto" w:fill="auto"/>
                  <w:noWrap/>
                  <w:vAlign w:val="center"/>
                  <w:hideMark/>
                </w:tcPr>
                <w:p w14:paraId="4F77FC6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b/>
                      <w:bCs/>
                      <w:color w:val="000000"/>
                      <w:sz w:val="18"/>
                      <w:szCs w:val="18"/>
                      <w:lang w:val="en-US" w:eastAsia="zh-CN"/>
                    </w:rPr>
                  </w:pPr>
                  <w:r w:rsidRPr="00902E35">
                    <w:rPr>
                      <w:rFonts w:ascii="Arial" w:eastAsia="Arial Unicode MS" w:hAnsi="Arial" w:cs="Arial"/>
                      <w:b/>
                      <w:bCs/>
                      <w:color w:val="000000"/>
                      <w:sz w:val="18"/>
                      <w:szCs w:val="18"/>
                      <w:lang w:val="en-US" w:eastAsia="zh-CN"/>
                    </w:rPr>
                    <w:t>DL FDD band</w:t>
                  </w:r>
                </w:p>
              </w:tc>
              <w:tc>
                <w:tcPr>
                  <w:tcW w:w="833" w:type="pct"/>
                  <w:tcBorders>
                    <w:top w:val="single" w:sz="4" w:space="0" w:color="auto"/>
                    <w:left w:val="nil"/>
                    <w:bottom w:val="single" w:sz="4" w:space="0" w:color="auto"/>
                    <w:right w:val="single" w:sz="4" w:space="0" w:color="auto"/>
                  </w:tcBorders>
                  <w:shd w:val="clear" w:color="auto" w:fill="auto"/>
                  <w:noWrap/>
                  <w:vAlign w:val="center"/>
                  <w:hideMark/>
                </w:tcPr>
                <w:p w14:paraId="491BBF8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b/>
                      <w:bCs/>
                      <w:color w:val="000000"/>
                      <w:sz w:val="18"/>
                      <w:szCs w:val="18"/>
                      <w:lang w:val="en-US" w:eastAsia="zh-CN"/>
                    </w:rPr>
                  </w:pPr>
                  <w:r w:rsidRPr="00902E35">
                    <w:rPr>
                      <w:rFonts w:ascii="Arial" w:eastAsia="Arial Unicode MS" w:hAnsi="Arial" w:cs="Arial"/>
                      <w:b/>
                      <w:bCs/>
                      <w:color w:val="000000"/>
                      <w:sz w:val="18"/>
                      <w:szCs w:val="18"/>
                      <w:lang w:val="en-US" w:eastAsia="zh-CN"/>
                    </w:rPr>
                    <w:t>SDL band</w:t>
                  </w:r>
                </w:p>
              </w:tc>
              <w:tc>
                <w:tcPr>
                  <w:tcW w:w="833" w:type="pct"/>
                  <w:tcBorders>
                    <w:top w:val="single" w:sz="4" w:space="0" w:color="auto"/>
                    <w:left w:val="nil"/>
                    <w:bottom w:val="single" w:sz="4" w:space="0" w:color="auto"/>
                    <w:right w:val="single" w:sz="4" w:space="0" w:color="auto"/>
                  </w:tcBorders>
                  <w:shd w:val="clear" w:color="auto" w:fill="auto"/>
                  <w:vAlign w:val="center"/>
                  <w:hideMark/>
                </w:tcPr>
                <w:p w14:paraId="4890A23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b/>
                      <w:bCs/>
                      <w:color w:val="000000"/>
                      <w:sz w:val="18"/>
                      <w:szCs w:val="18"/>
                      <w:lang w:val="en-US" w:eastAsia="zh-CN"/>
                    </w:rPr>
                  </w:pPr>
                  <w:r w:rsidRPr="00902E35">
                    <w:rPr>
                      <w:rFonts w:ascii="Arial" w:eastAsia="Arial Unicode MS" w:hAnsi="Arial" w:cs="Arial"/>
                      <w:b/>
                      <w:bCs/>
                      <w:color w:val="000000"/>
                      <w:sz w:val="18"/>
                      <w:szCs w:val="18"/>
                      <w:lang w:val="en-US" w:eastAsia="zh-CN"/>
                    </w:rPr>
                    <w:t>Frame Index</w:t>
                  </w:r>
                </w:p>
              </w:tc>
            </w:tr>
            <w:tr w:rsidR="00902E35" w:rsidRPr="00902E35" w14:paraId="66628B6A"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60DC9FF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0AF0AA8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4DC9FB6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58BF089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SSB</w:t>
                  </w:r>
                </w:p>
              </w:tc>
              <w:tc>
                <w:tcPr>
                  <w:tcW w:w="833" w:type="pct"/>
                  <w:tcBorders>
                    <w:top w:val="nil"/>
                    <w:left w:val="nil"/>
                    <w:bottom w:val="single" w:sz="4" w:space="0" w:color="auto"/>
                    <w:right w:val="single" w:sz="4" w:space="0" w:color="auto"/>
                  </w:tcBorders>
                  <w:shd w:val="clear" w:color="000000" w:fill="00B0F0"/>
                  <w:noWrap/>
                  <w:vAlign w:val="bottom"/>
                  <w:hideMark/>
                </w:tcPr>
                <w:p w14:paraId="33B8949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B285C1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i</w:t>
                  </w:r>
                </w:p>
              </w:tc>
            </w:tr>
            <w:tr w:rsidR="00902E35" w:rsidRPr="00902E35" w14:paraId="1068E5BD"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6D8B5B4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00B0F0"/>
                  <w:noWrap/>
                  <w:vAlign w:val="bottom"/>
                  <w:hideMark/>
                </w:tcPr>
                <w:p w14:paraId="16391FE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288A102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539B62B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SSB</w:t>
                  </w:r>
                </w:p>
              </w:tc>
              <w:tc>
                <w:tcPr>
                  <w:tcW w:w="833" w:type="pct"/>
                  <w:tcBorders>
                    <w:top w:val="nil"/>
                    <w:left w:val="nil"/>
                    <w:bottom w:val="single" w:sz="4" w:space="0" w:color="auto"/>
                    <w:right w:val="single" w:sz="4" w:space="0" w:color="auto"/>
                  </w:tcBorders>
                  <w:shd w:val="clear" w:color="000000" w:fill="00B0F0"/>
                  <w:noWrap/>
                  <w:vAlign w:val="bottom"/>
                  <w:hideMark/>
                </w:tcPr>
                <w:p w14:paraId="0B26F48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7080988A"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2536F53B"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2342440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w:t>
                  </w:r>
                </w:p>
              </w:tc>
              <w:tc>
                <w:tcPr>
                  <w:tcW w:w="833" w:type="pct"/>
                  <w:tcBorders>
                    <w:top w:val="nil"/>
                    <w:left w:val="nil"/>
                    <w:bottom w:val="single" w:sz="4" w:space="0" w:color="auto"/>
                    <w:right w:val="single" w:sz="4" w:space="0" w:color="auto"/>
                  </w:tcBorders>
                  <w:shd w:val="clear" w:color="000000" w:fill="00B0F0"/>
                  <w:noWrap/>
                  <w:vAlign w:val="bottom"/>
                  <w:hideMark/>
                </w:tcPr>
                <w:p w14:paraId="4038752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50F2D38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0EAA8A2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3F831AB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23A5A851"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28F90A71"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486AAF0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w:t>
                  </w:r>
                </w:p>
              </w:tc>
              <w:tc>
                <w:tcPr>
                  <w:tcW w:w="833" w:type="pct"/>
                  <w:tcBorders>
                    <w:top w:val="nil"/>
                    <w:left w:val="nil"/>
                    <w:bottom w:val="single" w:sz="4" w:space="0" w:color="auto"/>
                    <w:right w:val="single" w:sz="4" w:space="0" w:color="auto"/>
                  </w:tcBorders>
                  <w:shd w:val="clear" w:color="000000" w:fill="FFD966"/>
                  <w:noWrap/>
                  <w:vAlign w:val="bottom"/>
                  <w:hideMark/>
                </w:tcPr>
                <w:p w14:paraId="3FCA5EA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519E6A8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4569EE4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0BE5D6F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0B752AD6"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3F3A18B2"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75125B7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4</w:t>
                  </w:r>
                </w:p>
              </w:tc>
              <w:tc>
                <w:tcPr>
                  <w:tcW w:w="833" w:type="pct"/>
                  <w:tcBorders>
                    <w:top w:val="nil"/>
                    <w:left w:val="nil"/>
                    <w:bottom w:val="single" w:sz="4" w:space="0" w:color="auto"/>
                    <w:right w:val="single" w:sz="4" w:space="0" w:color="auto"/>
                  </w:tcBorders>
                  <w:shd w:val="clear" w:color="000000" w:fill="FFD966"/>
                  <w:noWrap/>
                  <w:vAlign w:val="bottom"/>
                  <w:hideMark/>
                </w:tcPr>
                <w:p w14:paraId="5C4B592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51A7986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258EE84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767200D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tcBorders>
                    <w:top w:val="nil"/>
                    <w:left w:val="single" w:sz="4" w:space="0" w:color="auto"/>
                    <w:bottom w:val="single" w:sz="4" w:space="0" w:color="auto"/>
                    <w:right w:val="single" w:sz="4" w:space="0" w:color="auto"/>
                  </w:tcBorders>
                  <w:vAlign w:val="center"/>
                  <w:hideMark/>
                </w:tcPr>
                <w:p w14:paraId="0E96835C"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71096E3D"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32D227F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5</w:t>
                  </w:r>
                </w:p>
              </w:tc>
              <w:tc>
                <w:tcPr>
                  <w:tcW w:w="833" w:type="pct"/>
                  <w:tcBorders>
                    <w:top w:val="nil"/>
                    <w:left w:val="nil"/>
                    <w:bottom w:val="single" w:sz="4" w:space="0" w:color="auto"/>
                    <w:right w:val="single" w:sz="4" w:space="0" w:color="auto"/>
                  </w:tcBorders>
                  <w:shd w:val="clear" w:color="000000" w:fill="00B0F0"/>
                  <w:noWrap/>
                  <w:vAlign w:val="bottom"/>
                  <w:hideMark/>
                </w:tcPr>
                <w:p w14:paraId="4353737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73815C1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44B5EF1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12A2030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6C5AC376"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011FB024"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11D71B6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6</w:t>
                  </w:r>
                </w:p>
              </w:tc>
              <w:tc>
                <w:tcPr>
                  <w:tcW w:w="833" w:type="pct"/>
                  <w:tcBorders>
                    <w:top w:val="nil"/>
                    <w:left w:val="nil"/>
                    <w:bottom w:val="single" w:sz="4" w:space="0" w:color="auto"/>
                    <w:right w:val="single" w:sz="4" w:space="0" w:color="auto"/>
                  </w:tcBorders>
                  <w:shd w:val="clear" w:color="000000" w:fill="00B0F0"/>
                  <w:noWrap/>
                  <w:vAlign w:val="bottom"/>
                  <w:hideMark/>
                </w:tcPr>
                <w:p w14:paraId="044371B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2A6E933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6F13342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4EC456F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5D4A294F"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1C8A8AE3"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37B512E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7</w:t>
                  </w:r>
                </w:p>
              </w:tc>
              <w:tc>
                <w:tcPr>
                  <w:tcW w:w="833" w:type="pct"/>
                  <w:tcBorders>
                    <w:top w:val="nil"/>
                    <w:left w:val="nil"/>
                    <w:bottom w:val="single" w:sz="4" w:space="0" w:color="auto"/>
                    <w:right w:val="single" w:sz="4" w:space="0" w:color="auto"/>
                  </w:tcBorders>
                  <w:shd w:val="clear" w:color="000000" w:fill="FFC000"/>
                  <w:noWrap/>
                  <w:vAlign w:val="bottom"/>
                  <w:hideMark/>
                </w:tcPr>
                <w:p w14:paraId="38A2AF6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54303AB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594A5E9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151ACED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407D2894"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1B433BF8"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09FEE72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8</w:t>
                  </w:r>
                </w:p>
              </w:tc>
              <w:tc>
                <w:tcPr>
                  <w:tcW w:w="833" w:type="pct"/>
                  <w:tcBorders>
                    <w:top w:val="nil"/>
                    <w:left w:val="nil"/>
                    <w:bottom w:val="single" w:sz="4" w:space="0" w:color="auto"/>
                    <w:right w:val="single" w:sz="4" w:space="0" w:color="auto"/>
                  </w:tcBorders>
                  <w:shd w:val="clear" w:color="000000" w:fill="FFC000"/>
                  <w:noWrap/>
                  <w:vAlign w:val="bottom"/>
                  <w:hideMark/>
                </w:tcPr>
                <w:p w14:paraId="12F5AD7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760C64D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5485E8F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3048446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tcBorders>
                    <w:top w:val="nil"/>
                    <w:left w:val="single" w:sz="4" w:space="0" w:color="auto"/>
                    <w:bottom w:val="single" w:sz="4" w:space="0" w:color="auto"/>
                    <w:right w:val="single" w:sz="4" w:space="0" w:color="auto"/>
                  </w:tcBorders>
                  <w:vAlign w:val="center"/>
                  <w:hideMark/>
                </w:tcPr>
                <w:p w14:paraId="5F74B4A6"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0BFD4F3D"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7D604FA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9</w:t>
                  </w:r>
                </w:p>
              </w:tc>
              <w:tc>
                <w:tcPr>
                  <w:tcW w:w="833" w:type="pct"/>
                  <w:tcBorders>
                    <w:top w:val="nil"/>
                    <w:left w:val="nil"/>
                    <w:bottom w:val="single" w:sz="4" w:space="0" w:color="auto"/>
                    <w:right w:val="single" w:sz="4" w:space="0" w:color="auto"/>
                  </w:tcBorders>
                  <w:shd w:val="clear" w:color="000000" w:fill="00B0F0"/>
                  <w:noWrap/>
                  <w:vAlign w:val="bottom"/>
                  <w:hideMark/>
                </w:tcPr>
                <w:p w14:paraId="72DC296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032D6B1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007282B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440D57C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4EED986C"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7BDE0B94"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0FD58F2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10</w:t>
                  </w:r>
                </w:p>
              </w:tc>
              <w:tc>
                <w:tcPr>
                  <w:tcW w:w="833" w:type="pct"/>
                  <w:tcBorders>
                    <w:top w:val="nil"/>
                    <w:left w:val="nil"/>
                    <w:bottom w:val="single" w:sz="4" w:space="0" w:color="auto"/>
                    <w:right w:val="single" w:sz="4" w:space="0" w:color="auto"/>
                  </w:tcBorders>
                  <w:shd w:val="clear" w:color="000000" w:fill="00B0F0"/>
                  <w:noWrap/>
                  <w:vAlign w:val="bottom"/>
                  <w:hideMark/>
                </w:tcPr>
                <w:p w14:paraId="0EE0D92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62F68F4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27E414F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74048CE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D9EB04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i+1</w:t>
                  </w:r>
                </w:p>
              </w:tc>
            </w:tr>
            <w:tr w:rsidR="00902E35" w:rsidRPr="00902E35" w14:paraId="737E16BB"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106F20F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11</w:t>
                  </w:r>
                </w:p>
              </w:tc>
              <w:tc>
                <w:tcPr>
                  <w:tcW w:w="833" w:type="pct"/>
                  <w:tcBorders>
                    <w:top w:val="nil"/>
                    <w:left w:val="nil"/>
                    <w:bottom w:val="single" w:sz="4" w:space="0" w:color="auto"/>
                    <w:right w:val="single" w:sz="4" w:space="0" w:color="auto"/>
                  </w:tcBorders>
                  <w:shd w:val="clear" w:color="000000" w:fill="FFC000"/>
                  <w:noWrap/>
                  <w:vAlign w:val="bottom"/>
                  <w:hideMark/>
                </w:tcPr>
                <w:p w14:paraId="12510C8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4A5AA4F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127725E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7FF5825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0895BCF1"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50658040"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473AF21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12</w:t>
                  </w:r>
                </w:p>
              </w:tc>
              <w:tc>
                <w:tcPr>
                  <w:tcW w:w="833" w:type="pct"/>
                  <w:tcBorders>
                    <w:top w:val="nil"/>
                    <w:left w:val="nil"/>
                    <w:bottom w:val="single" w:sz="4" w:space="0" w:color="auto"/>
                    <w:right w:val="single" w:sz="4" w:space="0" w:color="auto"/>
                  </w:tcBorders>
                  <w:shd w:val="clear" w:color="000000" w:fill="FFC000"/>
                  <w:noWrap/>
                  <w:vAlign w:val="bottom"/>
                  <w:hideMark/>
                </w:tcPr>
                <w:p w14:paraId="3B65C3B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4A11B37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241DFB3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2D3AA4C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tcBorders>
                    <w:top w:val="nil"/>
                    <w:left w:val="single" w:sz="4" w:space="0" w:color="auto"/>
                    <w:bottom w:val="single" w:sz="4" w:space="0" w:color="auto"/>
                    <w:right w:val="single" w:sz="4" w:space="0" w:color="auto"/>
                  </w:tcBorders>
                  <w:vAlign w:val="center"/>
                  <w:hideMark/>
                </w:tcPr>
                <w:p w14:paraId="3DCF2FB1"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69F46932"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60F6071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13</w:t>
                  </w:r>
                </w:p>
              </w:tc>
              <w:tc>
                <w:tcPr>
                  <w:tcW w:w="833" w:type="pct"/>
                  <w:tcBorders>
                    <w:top w:val="nil"/>
                    <w:left w:val="nil"/>
                    <w:bottom w:val="single" w:sz="4" w:space="0" w:color="auto"/>
                    <w:right w:val="single" w:sz="4" w:space="0" w:color="auto"/>
                  </w:tcBorders>
                  <w:shd w:val="clear" w:color="000000" w:fill="00B0F0"/>
                  <w:noWrap/>
                  <w:vAlign w:val="bottom"/>
                  <w:hideMark/>
                </w:tcPr>
                <w:p w14:paraId="597BEB0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01F36EC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72EE04A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3035B9F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182BF8CC"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28ED9209"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6074A11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14</w:t>
                  </w:r>
                </w:p>
              </w:tc>
              <w:tc>
                <w:tcPr>
                  <w:tcW w:w="833" w:type="pct"/>
                  <w:tcBorders>
                    <w:top w:val="nil"/>
                    <w:left w:val="nil"/>
                    <w:bottom w:val="single" w:sz="4" w:space="0" w:color="auto"/>
                    <w:right w:val="single" w:sz="4" w:space="0" w:color="auto"/>
                  </w:tcBorders>
                  <w:shd w:val="clear" w:color="000000" w:fill="00B0F0"/>
                  <w:noWrap/>
                  <w:vAlign w:val="bottom"/>
                  <w:hideMark/>
                </w:tcPr>
                <w:p w14:paraId="7555E2B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7AE6CEF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039E766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7132235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2B81AD99"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402DF91B"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3D0839B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15</w:t>
                  </w:r>
                </w:p>
              </w:tc>
              <w:tc>
                <w:tcPr>
                  <w:tcW w:w="833" w:type="pct"/>
                  <w:tcBorders>
                    <w:top w:val="nil"/>
                    <w:left w:val="nil"/>
                    <w:bottom w:val="single" w:sz="4" w:space="0" w:color="auto"/>
                    <w:right w:val="single" w:sz="4" w:space="0" w:color="auto"/>
                  </w:tcBorders>
                  <w:shd w:val="clear" w:color="000000" w:fill="FFC000"/>
                  <w:noWrap/>
                  <w:vAlign w:val="bottom"/>
                  <w:hideMark/>
                </w:tcPr>
                <w:p w14:paraId="7F9BD2A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17ED96C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10BE340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6BDE9AF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55EB5523"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105A6A85"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3EBA4F0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16</w:t>
                  </w:r>
                </w:p>
              </w:tc>
              <w:tc>
                <w:tcPr>
                  <w:tcW w:w="833" w:type="pct"/>
                  <w:tcBorders>
                    <w:top w:val="nil"/>
                    <w:left w:val="nil"/>
                    <w:bottom w:val="single" w:sz="4" w:space="0" w:color="auto"/>
                    <w:right w:val="single" w:sz="4" w:space="0" w:color="auto"/>
                  </w:tcBorders>
                  <w:shd w:val="clear" w:color="000000" w:fill="FFC000"/>
                  <w:noWrap/>
                  <w:vAlign w:val="bottom"/>
                  <w:hideMark/>
                </w:tcPr>
                <w:p w14:paraId="0C76D80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464A2A2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2640216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054EB40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tcBorders>
                    <w:top w:val="nil"/>
                    <w:left w:val="single" w:sz="4" w:space="0" w:color="auto"/>
                    <w:bottom w:val="single" w:sz="4" w:space="0" w:color="auto"/>
                    <w:right w:val="single" w:sz="4" w:space="0" w:color="auto"/>
                  </w:tcBorders>
                  <w:vAlign w:val="center"/>
                  <w:hideMark/>
                </w:tcPr>
                <w:p w14:paraId="375D4630"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5F854794"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77B523F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17</w:t>
                  </w:r>
                </w:p>
              </w:tc>
              <w:tc>
                <w:tcPr>
                  <w:tcW w:w="833" w:type="pct"/>
                  <w:tcBorders>
                    <w:top w:val="nil"/>
                    <w:left w:val="nil"/>
                    <w:bottom w:val="single" w:sz="4" w:space="0" w:color="auto"/>
                    <w:right w:val="single" w:sz="4" w:space="0" w:color="auto"/>
                  </w:tcBorders>
                  <w:shd w:val="clear" w:color="000000" w:fill="00B0F0"/>
                  <w:noWrap/>
                  <w:vAlign w:val="bottom"/>
                  <w:hideMark/>
                </w:tcPr>
                <w:p w14:paraId="7B30B42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167C5A0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3B97270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30C1C30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14641BA5"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5622CCBA"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1717F34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18</w:t>
                  </w:r>
                </w:p>
              </w:tc>
              <w:tc>
                <w:tcPr>
                  <w:tcW w:w="833" w:type="pct"/>
                  <w:tcBorders>
                    <w:top w:val="nil"/>
                    <w:left w:val="nil"/>
                    <w:bottom w:val="single" w:sz="4" w:space="0" w:color="auto"/>
                    <w:right w:val="single" w:sz="4" w:space="0" w:color="auto"/>
                  </w:tcBorders>
                  <w:shd w:val="clear" w:color="000000" w:fill="00B0F0"/>
                  <w:noWrap/>
                  <w:vAlign w:val="bottom"/>
                  <w:hideMark/>
                </w:tcPr>
                <w:p w14:paraId="0CDC9D9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0696AFE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5DE7090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0352692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0B97B5B6"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0A895994"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1014E29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19</w:t>
                  </w:r>
                </w:p>
              </w:tc>
              <w:tc>
                <w:tcPr>
                  <w:tcW w:w="833" w:type="pct"/>
                  <w:tcBorders>
                    <w:top w:val="nil"/>
                    <w:left w:val="nil"/>
                    <w:bottom w:val="single" w:sz="4" w:space="0" w:color="auto"/>
                    <w:right w:val="single" w:sz="4" w:space="0" w:color="auto"/>
                  </w:tcBorders>
                  <w:shd w:val="clear" w:color="000000" w:fill="FFC000"/>
                  <w:noWrap/>
                  <w:vAlign w:val="bottom"/>
                  <w:hideMark/>
                </w:tcPr>
                <w:p w14:paraId="0C457C0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60B48CE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098DA09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1957205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3E81899E"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2A207DB9"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523E3AD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20</w:t>
                  </w:r>
                </w:p>
              </w:tc>
              <w:tc>
                <w:tcPr>
                  <w:tcW w:w="833" w:type="pct"/>
                  <w:tcBorders>
                    <w:top w:val="nil"/>
                    <w:left w:val="nil"/>
                    <w:bottom w:val="single" w:sz="4" w:space="0" w:color="auto"/>
                    <w:right w:val="single" w:sz="4" w:space="0" w:color="auto"/>
                  </w:tcBorders>
                  <w:shd w:val="clear" w:color="000000" w:fill="FFC000"/>
                  <w:noWrap/>
                  <w:vAlign w:val="bottom"/>
                  <w:hideMark/>
                </w:tcPr>
                <w:p w14:paraId="3863124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4BC224E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C000"/>
                  <w:noWrap/>
                  <w:vAlign w:val="bottom"/>
                  <w:hideMark/>
                </w:tcPr>
                <w:p w14:paraId="720DD72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SSB</w:t>
                  </w:r>
                </w:p>
              </w:tc>
              <w:tc>
                <w:tcPr>
                  <w:tcW w:w="833" w:type="pct"/>
                  <w:tcBorders>
                    <w:top w:val="nil"/>
                    <w:left w:val="nil"/>
                    <w:bottom w:val="single" w:sz="4" w:space="0" w:color="auto"/>
                    <w:right w:val="single" w:sz="4" w:space="0" w:color="auto"/>
                  </w:tcBorders>
                  <w:shd w:val="clear" w:color="000000" w:fill="FFC000"/>
                  <w:noWrap/>
                  <w:vAlign w:val="bottom"/>
                  <w:hideMark/>
                </w:tcPr>
                <w:p w14:paraId="1804DAD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SSB</w:t>
                  </w:r>
                </w:p>
              </w:tc>
              <w:tc>
                <w:tcPr>
                  <w:tcW w:w="83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D4BA5B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i+2</w:t>
                  </w:r>
                </w:p>
              </w:tc>
            </w:tr>
            <w:tr w:rsidR="00902E35" w:rsidRPr="00902E35" w14:paraId="130FDA9C"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3B83F6C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21</w:t>
                  </w:r>
                </w:p>
              </w:tc>
              <w:tc>
                <w:tcPr>
                  <w:tcW w:w="833" w:type="pct"/>
                  <w:tcBorders>
                    <w:top w:val="nil"/>
                    <w:left w:val="nil"/>
                    <w:bottom w:val="single" w:sz="4" w:space="0" w:color="auto"/>
                    <w:right w:val="single" w:sz="4" w:space="0" w:color="auto"/>
                  </w:tcBorders>
                  <w:shd w:val="clear" w:color="000000" w:fill="FFC000"/>
                  <w:noWrap/>
                  <w:vAlign w:val="bottom"/>
                  <w:hideMark/>
                </w:tcPr>
                <w:p w14:paraId="509FF31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233D59F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C000"/>
                  <w:noWrap/>
                  <w:vAlign w:val="bottom"/>
                  <w:hideMark/>
                </w:tcPr>
                <w:p w14:paraId="03B099A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SSB</w:t>
                  </w:r>
                </w:p>
              </w:tc>
              <w:tc>
                <w:tcPr>
                  <w:tcW w:w="833" w:type="pct"/>
                  <w:tcBorders>
                    <w:top w:val="nil"/>
                    <w:left w:val="nil"/>
                    <w:bottom w:val="single" w:sz="4" w:space="0" w:color="auto"/>
                    <w:right w:val="single" w:sz="4" w:space="0" w:color="auto"/>
                  </w:tcBorders>
                  <w:shd w:val="clear" w:color="000000" w:fill="FFC000"/>
                  <w:noWrap/>
                  <w:vAlign w:val="bottom"/>
                  <w:hideMark/>
                </w:tcPr>
                <w:p w14:paraId="290304A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SSB</w:t>
                  </w:r>
                </w:p>
              </w:tc>
              <w:tc>
                <w:tcPr>
                  <w:tcW w:w="833" w:type="pct"/>
                  <w:vMerge/>
                  <w:tcBorders>
                    <w:top w:val="nil"/>
                    <w:left w:val="single" w:sz="4" w:space="0" w:color="auto"/>
                    <w:bottom w:val="single" w:sz="4" w:space="0" w:color="auto"/>
                    <w:right w:val="single" w:sz="4" w:space="0" w:color="auto"/>
                  </w:tcBorders>
                  <w:vAlign w:val="center"/>
                  <w:hideMark/>
                </w:tcPr>
                <w:p w14:paraId="73D6D0A9"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6AB5C156"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624245D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22</w:t>
                  </w:r>
                </w:p>
              </w:tc>
              <w:tc>
                <w:tcPr>
                  <w:tcW w:w="833" w:type="pct"/>
                  <w:tcBorders>
                    <w:top w:val="nil"/>
                    <w:left w:val="nil"/>
                    <w:bottom w:val="single" w:sz="4" w:space="0" w:color="auto"/>
                    <w:right w:val="single" w:sz="4" w:space="0" w:color="auto"/>
                  </w:tcBorders>
                  <w:shd w:val="clear" w:color="000000" w:fill="FFC000"/>
                  <w:noWrap/>
                  <w:vAlign w:val="bottom"/>
                  <w:hideMark/>
                </w:tcPr>
                <w:p w14:paraId="237E71F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44E8072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1467098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4FE5803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tcBorders>
                    <w:top w:val="nil"/>
                    <w:left w:val="single" w:sz="4" w:space="0" w:color="auto"/>
                    <w:bottom w:val="single" w:sz="4" w:space="0" w:color="auto"/>
                    <w:right w:val="single" w:sz="4" w:space="0" w:color="auto"/>
                  </w:tcBorders>
                  <w:vAlign w:val="center"/>
                  <w:hideMark/>
                </w:tcPr>
                <w:p w14:paraId="3275C28F"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2E485B84"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59C6F4D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23</w:t>
                  </w:r>
                </w:p>
              </w:tc>
              <w:tc>
                <w:tcPr>
                  <w:tcW w:w="833" w:type="pct"/>
                  <w:tcBorders>
                    <w:top w:val="nil"/>
                    <w:left w:val="nil"/>
                    <w:bottom w:val="single" w:sz="4" w:space="0" w:color="auto"/>
                    <w:right w:val="single" w:sz="4" w:space="0" w:color="auto"/>
                  </w:tcBorders>
                  <w:shd w:val="clear" w:color="000000" w:fill="00B0F0"/>
                  <w:noWrap/>
                  <w:vAlign w:val="bottom"/>
                  <w:hideMark/>
                </w:tcPr>
                <w:p w14:paraId="40AB5B2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08D3F35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462ABE6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70D7239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087C940D"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4B263BA9"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28EB918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24</w:t>
                  </w:r>
                </w:p>
              </w:tc>
              <w:tc>
                <w:tcPr>
                  <w:tcW w:w="833" w:type="pct"/>
                  <w:tcBorders>
                    <w:top w:val="nil"/>
                    <w:left w:val="nil"/>
                    <w:bottom w:val="single" w:sz="4" w:space="0" w:color="auto"/>
                    <w:right w:val="single" w:sz="4" w:space="0" w:color="auto"/>
                  </w:tcBorders>
                  <w:shd w:val="clear" w:color="000000" w:fill="00B0F0"/>
                  <w:noWrap/>
                  <w:vAlign w:val="bottom"/>
                  <w:hideMark/>
                </w:tcPr>
                <w:p w14:paraId="703B835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362ABED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20E8A30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17C2808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1BCAB8F4"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14851E7F"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14CBA62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25</w:t>
                  </w:r>
                </w:p>
              </w:tc>
              <w:tc>
                <w:tcPr>
                  <w:tcW w:w="833" w:type="pct"/>
                  <w:tcBorders>
                    <w:top w:val="nil"/>
                    <w:left w:val="nil"/>
                    <w:bottom w:val="single" w:sz="4" w:space="0" w:color="auto"/>
                    <w:right w:val="single" w:sz="4" w:space="0" w:color="auto"/>
                  </w:tcBorders>
                  <w:shd w:val="clear" w:color="000000" w:fill="FFC000"/>
                  <w:noWrap/>
                  <w:vAlign w:val="bottom"/>
                  <w:hideMark/>
                </w:tcPr>
                <w:p w14:paraId="63B0EA6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151D1D8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1903838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36DA0C6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661A2833"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316740A7"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51EFAC2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26</w:t>
                  </w:r>
                </w:p>
              </w:tc>
              <w:tc>
                <w:tcPr>
                  <w:tcW w:w="833" w:type="pct"/>
                  <w:tcBorders>
                    <w:top w:val="nil"/>
                    <w:left w:val="nil"/>
                    <w:bottom w:val="single" w:sz="4" w:space="0" w:color="auto"/>
                    <w:right w:val="single" w:sz="4" w:space="0" w:color="auto"/>
                  </w:tcBorders>
                  <w:shd w:val="clear" w:color="000000" w:fill="FFC000"/>
                  <w:noWrap/>
                  <w:vAlign w:val="bottom"/>
                  <w:hideMark/>
                </w:tcPr>
                <w:p w14:paraId="72AD237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7736ACB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078D386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4FB9C9B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tcBorders>
                    <w:top w:val="nil"/>
                    <w:left w:val="single" w:sz="4" w:space="0" w:color="auto"/>
                    <w:bottom w:val="single" w:sz="4" w:space="0" w:color="auto"/>
                    <w:right w:val="single" w:sz="4" w:space="0" w:color="auto"/>
                  </w:tcBorders>
                  <w:vAlign w:val="center"/>
                  <w:hideMark/>
                </w:tcPr>
                <w:p w14:paraId="257C6CD0"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087A92A1"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61281F6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27</w:t>
                  </w:r>
                </w:p>
              </w:tc>
              <w:tc>
                <w:tcPr>
                  <w:tcW w:w="833" w:type="pct"/>
                  <w:tcBorders>
                    <w:top w:val="nil"/>
                    <w:left w:val="nil"/>
                    <w:bottom w:val="single" w:sz="4" w:space="0" w:color="auto"/>
                    <w:right w:val="single" w:sz="4" w:space="0" w:color="auto"/>
                  </w:tcBorders>
                  <w:shd w:val="clear" w:color="000000" w:fill="00B0F0"/>
                  <w:noWrap/>
                  <w:vAlign w:val="bottom"/>
                  <w:hideMark/>
                </w:tcPr>
                <w:p w14:paraId="5B48CED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1333D89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4708BB1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34FE884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23BF99C3"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55C3BF70"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6157D43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28</w:t>
                  </w:r>
                </w:p>
              </w:tc>
              <w:tc>
                <w:tcPr>
                  <w:tcW w:w="833" w:type="pct"/>
                  <w:tcBorders>
                    <w:top w:val="nil"/>
                    <w:left w:val="nil"/>
                    <w:bottom w:val="single" w:sz="4" w:space="0" w:color="auto"/>
                    <w:right w:val="single" w:sz="4" w:space="0" w:color="auto"/>
                  </w:tcBorders>
                  <w:shd w:val="clear" w:color="000000" w:fill="00B0F0"/>
                  <w:noWrap/>
                  <w:vAlign w:val="bottom"/>
                  <w:hideMark/>
                </w:tcPr>
                <w:p w14:paraId="01756F38"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1138690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3C21CF1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781193E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55631905"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2F9AA7F7"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519417B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29</w:t>
                  </w:r>
                </w:p>
              </w:tc>
              <w:tc>
                <w:tcPr>
                  <w:tcW w:w="833" w:type="pct"/>
                  <w:tcBorders>
                    <w:top w:val="nil"/>
                    <w:left w:val="nil"/>
                    <w:bottom w:val="single" w:sz="4" w:space="0" w:color="auto"/>
                    <w:right w:val="single" w:sz="4" w:space="0" w:color="auto"/>
                  </w:tcBorders>
                  <w:shd w:val="clear" w:color="000000" w:fill="FFC000"/>
                  <w:noWrap/>
                  <w:vAlign w:val="bottom"/>
                  <w:hideMark/>
                </w:tcPr>
                <w:p w14:paraId="395F5E4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1AB1124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1617F08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2F72919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5947B940"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09E8C960"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5B2A6EC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30</w:t>
                  </w:r>
                </w:p>
              </w:tc>
              <w:tc>
                <w:tcPr>
                  <w:tcW w:w="833" w:type="pct"/>
                  <w:tcBorders>
                    <w:top w:val="nil"/>
                    <w:left w:val="nil"/>
                    <w:bottom w:val="single" w:sz="4" w:space="0" w:color="auto"/>
                    <w:right w:val="single" w:sz="4" w:space="0" w:color="auto"/>
                  </w:tcBorders>
                  <w:shd w:val="clear" w:color="000000" w:fill="FFC000"/>
                  <w:noWrap/>
                  <w:vAlign w:val="bottom"/>
                  <w:hideMark/>
                </w:tcPr>
                <w:p w14:paraId="05E9473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615D471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527E30B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4E1F24F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BD9B45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i+3</w:t>
                  </w:r>
                </w:p>
              </w:tc>
            </w:tr>
            <w:tr w:rsidR="00902E35" w:rsidRPr="00902E35" w14:paraId="3F37806B"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428211D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31</w:t>
                  </w:r>
                </w:p>
              </w:tc>
              <w:tc>
                <w:tcPr>
                  <w:tcW w:w="833" w:type="pct"/>
                  <w:tcBorders>
                    <w:top w:val="nil"/>
                    <w:left w:val="nil"/>
                    <w:bottom w:val="single" w:sz="4" w:space="0" w:color="auto"/>
                    <w:right w:val="single" w:sz="4" w:space="0" w:color="auto"/>
                  </w:tcBorders>
                  <w:shd w:val="clear" w:color="000000" w:fill="00B0F0"/>
                  <w:noWrap/>
                  <w:vAlign w:val="bottom"/>
                  <w:hideMark/>
                </w:tcPr>
                <w:p w14:paraId="12F30DC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1164F06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68684A9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0403015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02562E36"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3D695458"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4F46688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32</w:t>
                  </w:r>
                </w:p>
              </w:tc>
              <w:tc>
                <w:tcPr>
                  <w:tcW w:w="833" w:type="pct"/>
                  <w:tcBorders>
                    <w:top w:val="nil"/>
                    <w:left w:val="nil"/>
                    <w:bottom w:val="single" w:sz="4" w:space="0" w:color="auto"/>
                    <w:right w:val="single" w:sz="4" w:space="0" w:color="auto"/>
                  </w:tcBorders>
                  <w:shd w:val="clear" w:color="000000" w:fill="00B0F0"/>
                  <w:noWrap/>
                  <w:vAlign w:val="bottom"/>
                  <w:hideMark/>
                </w:tcPr>
                <w:p w14:paraId="5B25FEB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5BA9278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035EC56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65C7EC5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41C1A87B"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13D8E5AF"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0CD58FC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33</w:t>
                  </w:r>
                </w:p>
              </w:tc>
              <w:tc>
                <w:tcPr>
                  <w:tcW w:w="833" w:type="pct"/>
                  <w:tcBorders>
                    <w:top w:val="nil"/>
                    <w:left w:val="nil"/>
                    <w:bottom w:val="single" w:sz="4" w:space="0" w:color="auto"/>
                    <w:right w:val="single" w:sz="4" w:space="0" w:color="auto"/>
                  </w:tcBorders>
                  <w:shd w:val="clear" w:color="000000" w:fill="FFC000"/>
                  <w:noWrap/>
                  <w:vAlign w:val="bottom"/>
                  <w:hideMark/>
                </w:tcPr>
                <w:p w14:paraId="77F8CC8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1ECA789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587FDDF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3C741D2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4D8F7719"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1826A8DE"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02F017C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34</w:t>
                  </w:r>
                </w:p>
              </w:tc>
              <w:tc>
                <w:tcPr>
                  <w:tcW w:w="833" w:type="pct"/>
                  <w:tcBorders>
                    <w:top w:val="nil"/>
                    <w:left w:val="nil"/>
                    <w:bottom w:val="single" w:sz="4" w:space="0" w:color="auto"/>
                    <w:right w:val="single" w:sz="4" w:space="0" w:color="auto"/>
                  </w:tcBorders>
                  <w:shd w:val="clear" w:color="000000" w:fill="FFC000"/>
                  <w:noWrap/>
                  <w:vAlign w:val="bottom"/>
                  <w:hideMark/>
                </w:tcPr>
                <w:p w14:paraId="4FCC354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6823FF44"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4804BFD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793FDF9C"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tcBorders>
                    <w:top w:val="nil"/>
                    <w:left w:val="single" w:sz="4" w:space="0" w:color="auto"/>
                    <w:bottom w:val="single" w:sz="4" w:space="0" w:color="auto"/>
                    <w:right w:val="single" w:sz="4" w:space="0" w:color="auto"/>
                  </w:tcBorders>
                  <w:vAlign w:val="center"/>
                  <w:hideMark/>
                </w:tcPr>
                <w:p w14:paraId="22725B56"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66D1EC45"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1E29101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35</w:t>
                  </w:r>
                </w:p>
              </w:tc>
              <w:tc>
                <w:tcPr>
                  <w:tcW w:w="833" w:type="pct"/>
                  <w:tcBorders>
                    <w:top w:val="nil"/>
                    <w:left w:val="nil"/>
                    <w:bottom w:val="single" w:sz="4" w:space="0" w:color="auto"/>
                    <w:right w:val="single" w:sz="4" w:space="0" w:color="auto"/>
                  </w:tcBorders>
                  <w:shd w:val="clear" w:color="000000" w:fill="00B0F0"/>
                  <w:noWrap/>
                  <w:vAlign w:val="bottom"/>
                  <w:hideMark/>
                </w:tcPr>
                <w:p w14:paraId="285AE1C1"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419360B6"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4DF1F76A"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56AD7A6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583E3DB3"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327532A0"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1E61F0A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36</w:t>
                  </w:r>
                </w:p>
              </w:tc>
              <w:tc>
                <w:tcPr>
                  <w:tcW w:w="833" w:type="pct"/>
                  <w:tcBorders>
                    <w:top w:val="nil"/>
                    <w:left w:val="nil"/>
                    <w:bottom w:val="single" w:sz="4" w:space="0" w:color="auto"/>
                    <w:right w:val="single" w:sz="4" w:space="0" w:color="auto"/>
                  </w:tcBorders>
                  <w:shd w:val="clear" w:color="000000" w:fill="00B0F0"/>
                  <w:noWrap/>
                  <w:vAlign w:val="bottom"/>
                  <w:hideMark/>
                </w:tcPr>
                <w:p w14:paraId="2E5A0B7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4F77859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374BC64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7102208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79A7B91B"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58745E71"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5523FAAB"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37</w:t>
                  </w:r>
                </w:p>
              </w:tc>
              <w:tc>
                <w:tcPr>
                  <w:tcW w:w="833" w:type="pct"/>
                  <w:tcBorders>
                    <w:top w:val="nil"/>
                    <w:left w:val="nil"/>
                    <w:bottom w:val="single" w:sz="4" w:space="0" w:color="auto"/>
                    <w:right w:val="single" w:sz="4" w:space="0" w:color="auto"/>
                  </w:tcBorders>
                  <w:shd w:val="clear" w:color="000000" w:fill="FFC000"/>
                  <w:noWrap/>
                  <w:vAlign w:val="bottom"/>
                  <w:hideMark/>
                </w:tcPr>
                <w:p w14:paraId="6054441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1BC51B9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73C16080"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5CA0021D"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vMerge/>
                  <w:tcBorders>
                    <w:top w:val="nil"/>
                    <w:left w:val="single" w:sz="4" w:space="0" w:color="auto"/>
                    <w:bottom w:val="single" w:sz="4" w:space="0" w:color="auto"/>
                    <w:right w:val="single" w:sz="4" w:space="0" w:color="auto"/>
                  </w:tcBorders>
                  <w:vAlign w:val="center"/>
                  <w:hideMark/>
                </w:tcPr>
                <w:p w14:paraId="017DF6DE"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02F9152F"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0357ECF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38</w:t>
                  </w:r>
                </w:p>
              </w:tc>
              <w:tc>
                <w:tcPr>
                  <w:tcW w:w="833" w:type="pct"/>
                  <w:tcBorders>
                    <w:top w:val="nil"/>
                    <w:left w:val="nil"/>
                    <w:bottom w:val="single" w:sz="4" w:space="0" w:color="auto"/>
                    <w:right w:val="single" w:sz="4" w:space="0" w:color="auto"/>
                  </w:tcBorders>
                  <w:shd w:val="clear" w:color="000000" w:fill="FFC000"/>
                  <w:noWrap/>
                  <w:vAlign w:val="bottom"/>
                  <w:hideMark/>
                </w:tcPr>
                <w:p w14:paraId="5F29C153"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1</w:t>
                  </w:r>
                </w:p>
              </w:tc>
              <w:tc>
                <w:tcPr>
                  <w:tcW w:w="833" w:type="pct"/>
                  <w:tcBorders>
                    <w:top w:val="nil"/>
                    <w:left w:val="nil"/>
                    <w:bottom w:val="single" w:sz="4" w:space="0" w:color="auto"/>
                    <w:right w:val="single" w:sz="4" w:space="0" w:color="auto"/>
                  </w:tcBorders>
                  <w:shd w:val="clear" w:color="000000" w:fill="FFD966"/>
                  <w:noWrap/>
                  <w:vAlign w:val="bottom"/>
                  <w:hideMark/>
                </w:tcPr>
                <w:p w14:paraId="5FEA7CF2"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tcBorders>
                    <w:top w:val="nil"/>
                    <w:left w:val="nil"/>
                    <w:bottom w:val="single" w:sz="4" w:space="0" w:color="auto"/>
                    <w:right w:val="single" w:sz="4" w:space="0" w:color="auto"/>
                  </w:tcBorders>
                  <w:shd w:val="clear" w:color="000000" w:fill="FFD966"/>
                  <w:noWrap/>
                  <w:vAlign w:val="bottom"/>
                  <w:hideMark/>
                </w:tcPr>
                <w:p w14:paraId="41C82A0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tcBorders>
                    <w:top w:val="nil"/>
                    <w:left w:val="nil"/>
                    <w:bottom w:val="single" w:sz="4" w:space="0" w:color="auto"/>
                    <w:right w:val="single" w:sz="4" w:space="0" w:color="auto"/>
                  </w:tcBorders>
                  <w:shd w:val="clear" w:color="000000" w:fill="FFD966"/>
                  <w:noWrap/>
                  <w:vAlign w:val="bottom"/>
                  <w:hideMark/>
                </w:tcPr>
                <w:p w14:paraId="37022245"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SF-PDCCH and PDSCH</w:t>
                  </w:r>
                </w:p>
              </w:tc>
              <w:tc>
                <w:tcPr>
                  <w:tcW w:w="833" w:type="pct"/>
                  <w:vMerge/>
                  <w:tcBorders>
                    <w:top w:val="nil"/>
                    <w:left w:val="single" w:sz="4" w:space="0" w:color="auto"/>
                    <w:bottom w:val="single" w:sz="4" w:space="0" w:color="auto"/>
                    <w:right w:val="single" w:sz="4" w:space="0" w:color="auto"/>
                  </w:tcBorders>
                  <w:vAlign w:val="center"/>
                  <w:hideMark/>
                </w:tcPr>
                <w:p w14:paraId="67E979F8"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r w:rsidR="00902E35" w:rsidRPr="00902E35" w14:paraId="28AC080C" w14:textId="77777777" w:rsidTr="00902E35">
              <w:trPr>
                <w:trHeight w:val="20"/>
              </w:trPr>
              <w:tc>
                <w:tcPr>
                  <w:tcW w:w="833" w:type="pct"/>
                  <w:tcBorders>
                    <w:top w:val="nil"/>
                    <w:left w:val="single" w:sz="4" w:space="0" w:color="auto"/>
                    <w:bottom w:val="single" w:sz="4" w:space="0" w:color="auto"/>
                    <w:right w:val="single" w:sz="4" w:space="0" w:color="auto"/>
                  </w:tcBorders>
                  <w:shd w:val="clear" w:color="auto" w:fill="auto"/>
                  <w:noWrap/>
                  <w:vAlign w:val="bottom"/>
                  <w:hideMark/>
                </w:tcPr>
                <w:p w14:paraId="28AE69B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39</w:t>
                  </w:r>
                </w:p>
              </w:tc>
              <w:tc>
                <w:tcPr>
                  <w:tcW w:w="833" w:type="pct"/>
                  <w:tcBorders>
                    <w:top w:val="nil"/>
                    <w:left w:val="nil"/>
                    <w:bottom w:val="single" w:sz="4" w:space="0" w:color="auto"/>
                    <w:right w:val="single" w:sz="4" w:space="0" w:color="auto"/>
                  </w:tcBorders>
                  <w:shd w:val="clear" w:color="000000" w:fill="00B0F0"/>
                  <w:noWrap/>
                  <w:vAlign w:val="bottom"/>
                  <w:hideMark/>
                </w:tcPr>
                <w:p w14:paraId="461B644F"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0</w:t>
                  </w:r>
                </w:p>
              </w:tc>
              <w:tc>
                <w:tcPr>
                  <w:tcW w:w="833" w:type="pct"/>
                  <w:tcBorders>
                    <w:top w:val="nil"/>
                    <w:left w:val="nil"/>
                    <w:bottom w:val="single" w:sz="4" w:space="0" w:color="auto"/>
                    <w:right w:val="single" w:sz="4" w:space="0" w:color="auto"/>
                  </w:tcBorders>
                  <w:shd w:val="clear" w:color="000000" w:fill="00B0F0"/>
                  <w:noWrap/>
                  <w:vAlign w:val="bottom"/>
                  <w:hideMark/>
                </w:tcPr>
                <w:p w14:paraId="23E403B7"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PUCCH/PUSCH</w:t>
                  </w:r>
                </w:p>
              </w:tc>
              <w:tc>
                <w:tcPr>
                  <w:tcW w:w="833" w:type="pct"/>
                  <w:tcBorders>
                    <w:top w:val="nil"/>
                    <w:left w:val="nil"/>
                    <w:bottom w:val="single" w:sz="4" w:space="0" w:color="auto"/>
                    <w:right w:val="single" w:sz="4" w:space="0" w:color="auto"/>
                  </w:tcBorders>
                  <w:shd w:val="clear" w:color="000000" w:fill="00B0F0"/>
                  <w:noWrap/>
                  <w:vAlign w:val="bottom"/>
                  <w:hideMark/>
                </w:tcPr>
                <w:p w14:paraId="7D6F5539"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ST-PDCCH and PDSCH</w:t>
                  </w:r>
                </w:p>
              </w:tc>
              <w:tc>
                <w:tcPr>
                  <w:tcW w:w="833" w:type="pct"/>
                  <w:tcBorders>
                    <w:top w:val="nil"/>
                    <w:left w:val="nil"/>
                    <w:bottom w:val="single" w:sz="4" w:space="0" w:color="auto"/>
                    <w:right w:val="single" w:sz="4" w:space="0" w:color="auto"/>
                  </w:tcBorders>
                  <w:shd w:val="clear" w:color="000000" w:fill="00B0F0"/>
                  <w:noWrap/>
                  <w:vAlign w:val="bottom"/>
                  <w:hideMark/>
                </w:tcPr>
                <w:p w14:paraId="3325726E" w14:textId="77777777" w:rsidR="00902E35" w:rsidRPr="00902E35" w:rsidRDefault="00902E35" w:rsidP="00902E35">
                  <w:pPr>
                    <w:overflowPunct/>
                    <w:autoSpaceDE/>
                    <w:autoSpaceDN/>
                    <w:adjustRightInd/>
                    <w:spacing w:after="0"/>
                    <w:jc w:val="center"/>
                    <w:textAlignment w:val="auto"/>
                    <w:rPr>
                      <w:rFonts w:ascii="Arial" w:eastAsia="Arial Unicode MS" w:hAnsi="Arial" w:cs="Arial"/>
                      <w:color w:val="000000"/>
                      <w:sz w:val="18"/>
                      <w:szCs w:val="18"/>
                      <w:lang w:val="en-US" w:eastAsia="zh-CN"/>
                    </w:rPr>
                  </w:pPr>
                  <w:r w:rsidRPr="00902E35">
                    <w:rPr>
                      <w:rFonts w:ascii="Arial" w:eastAsia="Arial Unicode MS" w:hAnsi="Arial" w:cs="Arial"/>
                      <w:color w:val="000000"/>
                      <w:sz w:val="18"/>
                      <w:szCs w:val="18"/>
                      <w:lang w:val="en-US" w:eastAsia="zh-CN"/>
                    </w:rPr>
                    <w:t>NA</w:t>
                  </w:r>
                </w:p>
              </w:tc>
              <w:tc>
                <w:tcPr>
                  <w:tcW w:w="833" w:type="pct"/>
                  <w:vMerge/>
                  <w:tcBorders>
                    <w:top w:val="nil"/>
                    <w:left w:val="single" w:sz="4" w:space="0" w:color="auto"/>
                    <w:bottom w:val="single" w:sz="4" w:space="0" w:color="auto"/>
                    <w:right w:val="single" w:sz="4" w:space="0" w:color="auto"/>
                  </w:tcBorders>
                  <w:vAlign w:val="center"/>
                  <w:hideMark/>
                </w:tcPr>
                <w:p w14:paraId="3EA3B037" w14:textId="77777777" w:rsidR="00902E35" w:rsidRPr="00902E35" w:rsidRDefault="00902E35" w:rsidP="00902E35">
                  <w:pPr>
                    <w:overflowPunct/>
                    <w:autoSpaceDE/>
                    <w:autoSpaceDN/>
                    <w:adjustRightInd/>
                    <w:spacing w:after="0"/>
                    <w:textAlignment w:val="auto"/>
                    <w:rPr>
                      <w:rFonts w:ascii="Arial" w:eastAsia="Arial Unicode MS" w:hAnsi="Arial" w:cs="Arial"/>
                      <w:color w:val="000000"/>
                      <w:sz w:val="18"/>
                      <w:szCs w:val="18"/>
                      <w:lang w:val="en-US" w:eastAsia="zh-CN"/>
                    </w:rPr>
                  </w:pPr>
                </w:p>
              </w:tc>
            </w:tr>
          </w:tbl>
          <w:p w14:paraId="3CE22A0A" w14:textId="77777777" w:rsidR="00902E35" w:rsidRDefault="00902E35" w:rsidP="00230A0C">
            <w:pPr>
              <w:pStyle w:val="B1"/>
              <w:keepNext/>
              <w:ind w:left="0" w:firstLine="0"/>
              <w:rPr>
                <w:b/>
                <w:bCs/>
                <w:lang w:val="en-US"/>
              </w:rPr>
            </w:pPr>
          </w:p>
        </w:tc>
      </w:tr>
    </w:tbl>
    <w:p w14:paraId="65530B30" w14:textId="3C0A29D0" w:rsidR="00902E35" w:rsidRDefault="00230A0C" w:rsidP="00230A0C">
      <w:pPr>
        <w:pStyle w:val="a3"/>
        <w:rPr>
          <w:b w:val="0"/>
          <w:bCs w:val="0"/>
        </w:rPr>
      </w:pPr>
      <w:r>
        <w:t xml:space="preserve">Figure </w:t>
      </w:r>
      <w:r>
        <w:fldChar w:fldCharType="begin"/>
      </w:r>
      <w:r>
        <w:instrText xml:space="preserve"> SEQ Figure \* ARABIC </w:instrText>
      </w:r>
      <w:r>
        <w:fldChar w:fldCharType="separate"/>
      </w:r>
      <w:r>
        <w:rPr>
          <w:noProof/>
        </w:rPr>
        <w:t>3</w:t>
      </w:r>
      <w:r>
        <w:fldChar w:fldCharType="end"/>
      </w:r>
      <w:r>
        <w:t xml:space="preserve"> The DL RMC switching pattern for R20 LB CA via switching</w:t>
      </w:r>
    </w:p>
    <w:p w14:paraId="7E766A66" w14:textId="77777777" w:rsidR="00902E35" w:rsidRDefault="00902E35" w:rsidP="009267C2">
      <w:pPr>
        <w:pStyle w:val="B1"/>
        <w:ind w:left="0" w:firstLine="0"/>
        <w:rPr>
          <w:b/>
          <w:bCs/>
          <w:lang w:val="en-US"/>
        </w:rPr>
      </w:pPr>
    </w:p>
    <w:p w14:paraId="6F2F5E03" w14:textId="3E22C293" w:rsidR="00006D4F" w:rsidRDefault="00EA4B1F" w:rsidP="009267C2">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sidR="00230A0C">
        <w:rPr>
          <w:rFonts w:eastAsiaTheme="minorEastAsia"/>
          <w:b/>
          <w:sz w:val="24"/>
          <w:szCs w:val="24"/>
          <w:lang w:eastAsia="zh-CN"/>
        </w:rPr>
        <w:t>3</w:t>
      </w:r>
      <w:r w:rsidRPr="00422E4B">
        <w:rPr>
          <w:rFonts w:eastAsiaTheme="minorEastAsia" w:hint="eastAsia"/>
          <w:b/>
          <w:sz w:val="24"/>
          <w:szCs w:val="24"/>
          <w:lang w:eastAsia="zh-CN"/>
        </w:rPr>
        <w:t>:</w:t>
      </w:r>
      <w:r>
        <w:rPr>
          <w:rFonts w:eastAsiaTheme="minorEastAsia"/>
          <w:b/>
          <w:sz w:val="24"/>
          <w:szCs w:val="24"/>
          <w:lang w:eastAsia="zh-CN"/>
        </w:rPr>
        <w:t xml:space="preserve"> </w:t>
      </w:r>
      <w:r w:rsidR="00DE1AE5">
        <w:rPr>
          <w:rFonts w:eastAsiaTheme="minorEastAsia"/>
          <w:b/>
          <w:sz w:val="24"/>
          <w:szCs w:val="24"/>
          <w:lang w:eastAsia="zh-CN"/>
        </w:rPr>
        <w:t xml:space="preserve">to </w:t>
      </w:r>
      <w:r w:rsidR="00DE1AE5" w:rsidRPr="003A744C">
        <w:rPr>
          <w:rFonts w:eastAsiaTheme="minorEastAsia"/>
          <w:b/>
          <w:sz w:val="24"/>
          <w:szCs w:val="24"/>
          <w:lang w:eastAsia="zh-CN"/>
        </w:rPr>
        <w:t>design a new DL RMC to verify the REFSENS requirements and the DL receiving performance for UE before and/or after the Switching gap together</w:t>
      </w:r>
      <w:r w:rsidR="00DE1AE5">
        <w:rPr>
          <w:rFonts w:eastAsiaTheme="minorEastAsia"/>
          <w:b/>
          <w:sz w:val="24"/>
          <w:szCs w:val="24"/>
          <w:lang w:eastAsia="zh-CN"/>
        </w:rPr>
        <w:t>.</w:t>
      </w:r>
    </w:p>
    <w:p w14:paraId="0D12B852" w14:textId="3F964664" w:rsidR="00311B3A" w:rsidRDefault="00311B3A" w:rsidP="009267C2">
      <w:pPr>
        <w:pStyle w:val="B1"/>
        <w:ind w:left="0" w:firstLine="0"/>
        <w:rPr>
          <w:rFonts w:eastAsiaTheme="minorEastAsia"/>
          <w:b/>
          <w:sz w:val="24"/>
          <w:szCs w:val="24"/>
          <w:lang w:eastAsia="zh-CN"/>
        </w:rPr>
      </w:pPr>
      <w:r>
        <w:rPr>
          <w:rFonts w:eastAsiaTheme="minorEastAsia"/>
          <w:b/>
          <w:sz w:val="24"/>
          <w:szCs w:val="24"/>
          <w:lang w:eastAsia="zh-CN"/>
        </w:rPr>
        <w:tab/>
      </w:r>
      <w:r w:rsidR="00230A0C">
        <w:rPr>
          <w:rFonts w:eastAsiaTheme="minorEastAsia"/>
          <w:b/>
          <w:sz w:val="24"/>
          <w:szCs w:val="24"/>
          <w:lang w:eastAsia="zh-CN"/>
        </w:rPr>
        <w:t>3</w:t>
      </w:r>
      <w:r>
        <w:rPr>
          <w:rFonts w:eastAsiaTheme="minorEastAsia"/>
          <w:b/>
          <w:sz w:val="24"/>
          <w:szCs w:val="24"/>
          <w:lang w:eastAsia="zh-CN"/>
        </w:rPr>
        <w:t xml:space="preserve">-1: </w:t>
      </w:r>
      <w:r w:rsidRPr="00311B3A">
        <w:rPr>
          <w:rFonts w:eastAsiaTheme="minorEastAsia"/>
          <w:b/>
          <w:i/>
          <w:sz w:val="24"/>
          <w:szCs w:val="24"/>
          <w:lang w:eastAsia="zh-CN"/>
        </w:rPr>
        <w:t>LBCA-SwitchingPattern</w:t>
      </w:r>
      <w:r>
        <w:rPr>
          <w:rFonts w:eastAsiaTheme="minorEastAsia"/>
          <w:b/>
          <w:sz w:val="24"/>
          <w:szCs w:val="24"/>
          <w:lang w:eastAsia="zh-CN"/>
        </w:rPr>
        <w:t>:</w:t>
      </w:r>
      <w:r w:rsidRPr="00311B3A">
        <w:rPr>
          <w:rFonts w:eastAsiaTheme="minorEastAsia"/>
          <w:b/>
          <w:sz w:val="24"/>
          <w:szCs w:val="24"/>
          <w:lang w:eastAsia="zh-CN"/>
        </w:rPr>
        <w:t xml:space="preserve"> ‘00011 00110 01100 11001 11100 11001 10011 00110’. </w:t>
      </w:r>
    </w:p>
    <w:p w14:paraId="79F4AFC7" w14:textId="2FBE6A5D" w:rsidR="00311B3A" w:rsidRDefault="00230A0C" w:rsidP="00311B3A">
      <w:pPr>
        <w:pStyle w:val="B1"/>
        <w:ind w:left="0" w:firstLine="420"/>
        <w:rPr>
          <w:rFonts w:eastAsiaTheme="minorEastAsia"/>
          <w:b/>
          <w:sz w:val="24"/>
          <w:szCs w:val="24"/>
          <w:lang w:eastAsia="zh-CN"/>
        </w:rPr>
      </w:pPr>
      <w:r>
        <w:rPr>
          <w:rFonts w:eastAsiaTheme="minorEastAsia"/>
          <w:b/>
          <w:sz w:val="24"/>
          <w:szCs w:val="24"/>
          <w:lang w:eastAsia="zh-CN"/>
        </w:rPr>
        <w:lastRenderedPageBreak/>
        <w:t>3</w:t>
      </w:r>
      <w:r w:rsidR="00311B3A">
        <w:rPr>
          <w:rFonts w:eastAsiaTheme="minorEastAsia"/>
          <w:b/>
          <w:sz w:val="24"/>
          <w:szCs w:val="24"/>
          <w:lang w:eastAsia="zh-CN"/>
        </w:rPr>
        <w:t xml:space="preserve">-2: </w:t>
      </w:r>
      <w:r w:rsidR="00311B3A" w:rsidRPr="00311B3A">
        <w:rPr>
          <w:rFonts w:eastAsiaTheme="minorEastAsia"/>
          <w:b/>
          <w:sz w:val="24"/>
          <w:szCs w:val="24"/>
          <w:lang w:eastAsia="zh-CN"/>
        </w:rPr>
        <w:t xml:space="preserve">Before and/or after switching gaps (PCelltoSCell and SCelltoPCell), 2 symbols Type B PDSCH is scheduled in the DL slots except for SSB slots. </w:t>
      </w:r>
    </w:p>
    <w:p w14:paraId="201F4D00" w14:textId="102393B9" w:rsidR="00311B3A" w:rsidRDefault="00230A0C" w:rsidP="00311B3A">
      <w:pPr>
        <w:pStyle w:val="B1"/>
        <w:ind w:left="0" w:firstLine="420"/>
        <w:rPr>
          <w:rFonts w:eastAsiaTheme="minorEastAsia"/>
          <w:b/>
          <w:sz w:val="24"/>
          <w:szCs w:val="24"/>
          <w:lang w:eastAsia="zh-CN"/>
        </w:rPr>
      </w:pPr>
      <w:r>
        <w:rPr>
          <w:rFonts w:eastAsiaTheme="minorEastAsia"/>
          <w:b/>
          <w:sz w:val="24"/>
          <w:szCs w:val="24"/>
          <w:lang w:eastAsia="zh-CN"/>
        </w:rPr>
        <w:t>3</w:t>
      </w:r>
      <w:r w:rsidR="00311B3A">
        <w:rPr>
          <w:rFonts w:eastAsiaTheme="minorEastAsia"/>
          <w:b/>
          <w:sz w:val="24"/>
          <w:szCs w:val="24"/>
          <w:lang w:eastAsia="zh-CN"/>
        </w:rPr>
        <w:t xml:space="preserve">-3: </w:t>
      </w:r>
      <w:r w:rsidR="00311B3A" w:rsidRPr="00311B3A">
        <w:rPr>
          <w:rFonts w:eastAsiaTheme="minorEastAsia"/>
          <w:b/>
          <w:sz w:val="24"/>
          <w:szCs w:val="24"/>
          <w:lang w:eastAsia="zh-CN"/>
        </w:rPr>
        <w:t>one symbol PDCCH at the first symbol in each DL slot except for SSB slots.</w:t>
      </w:r>
    </w:p>
    <w:p w14:paraId="62246512" w14:textId="1692C3E5" w:rsidR="00DE1AE5" w:rsidRDefault="00230A0C" w:rsidP="00311B3A">
      <w:pPr>
        <w:pStyle w:val="B1"/>
        <w:ind w:left="0" w:firstLine="420"/>
        <w:rPr>
          <w:rFonts w:eastAsiaTheme="minorEastAsia"/>
          <w:b/>
          <w:sz w:val="24"/>
          <w:szCs w:val="24"/>
          <w:lang w:eastAsia="zh-CN"/>
        </w:rPr>
      </w:pPr>
      <w:r>
        <w:rPr>
          <w:rFonts w:eastAsiaTheme="minorEastAsia"/>
          <w:b/>
          <w:sz w:val="24"/>
          <w:szCs w:val="24"/>
          <w:lang w:eastAsia="zh-CN"/>
        </w:rPr>
        <w:t>3</w:t>
      </w:r>
      <w:r w:rsidR="00311B3A">
        <w:rPr>
          <w:rFonts w:eastAsiaTheme="minorEastAsia"/>
          <w:b/>
          <w:sz w:val="24"/>
          <w:szCs w:val="24"/>
          <w:lang w:eastAsia="zh-CN"/>
        </w:rPr>
        <w:t xml:space="preserve">-4: </w:t>
      </w:r>
      <w:r w:rsidR="00311B3A" w:rsidRPr="00311B3A">
        <w:rPr>
          <w:rFonts w:eastAsiaTheme="minorEastAsia"/>
          <w:b/>
          <w:sz w:val="24"/>
          <w:szCs w:val="24"/>
          <w:lang w:eastAsia="zh-CN"/>
        </w:rPr>
        <w:t xml:space="preserve">The diagram about DL RMC for Low-Low bands inter-band CA via switching is shown </w:t>
      </w:r>
      <w:r w:rsidR="00311B3A">
        <w:rPr>
          <w:rFonts w:eastAsiaTheme="minorEastAsia"/>
          <w:b/>
          <w:sz w:val="24"/>
          <w:szCs w:val="24"/>
          <w:lang w:eastAsia="zh-CN"/>
        </w:rPr>
        <w:t xml:space="preserve">in figure </w:t>
      </w:r>
      <w:r>
        <w:rPr>
          <w:rFonts w:eastAsiaTheme="minorEastAsia"/>
          <w:b/>
          <w:sz w:val="24"/>
          <w:szCs w:val="24"/>
          <w:lang w:eastAsia="zh-CN"/>
        </w:rPr>
        <w:t>3</w:t>
      </w:r>
      <w:r w:rsidR="00311B3A" w:rsidRPr="00311B3A">
        <w:rPr>
          <w:rFonts w:eastAsiaTheme="minorEastAsia"/>
          <w:b/>
          <w:sz w:val="24"/>
          <w:szCs w:val="24"/>
          <w:lang w:eastAsia="zh-CN"/>
        </w:rPr>
        <w:t>.</w:t>
      </w:r>
    </w:p>
    <w:p w14:paraId="2E8592C2" w14:textId="12BEE2C9" w:rsidR="00103E58" w:rsidRDefault="00103E58" w:rsidP="00103E58">
      <w:pPr>
        <w:pStyle w:val="1"/>
        <w:rPr>
          <w:rFonts w:eastAsiaTheme="minorEastAsia"/>
          <w:lang w:eastAsia="zh-CN"/>
        </w:rPr>
      </w:pPr>
      <w:r>
        <w:rPr>
          <w:rFonts w:eastAsiaTheme="minorEastAsia" w:hint="eastAsia"/>
          <w:lang w:eastAsia="zh-CN"/>
        </w:rPr>
        <w:t>3</w:t>
      </w:r>
      <w:r>
        <w:t xml:space="preserve"> </w:t>
      </w:r>
      <w:r>
        <w:rPr>
          <w:rFonts w:eastAsiaTheme="minorEastAsia" w:hint="eastAsia"/>
          <w:lang w:eastAsia="zh-CN"/>
        </w:rPr>
        <w:t>Summary</w:t>
      </w:r>
    </w:p>
    <w:p w14:paraId="4C0EDAA3" w14:textId="77777777" w:rsidR="00230A0C" w:rsidRDefault="00230A0C" w:rsidP="00230A0C">
      <w:pPr>
        <w:pStyle w:val="B1"/>
        <w:ind w:left="0" w:firstLine="0"/>
        <w:rPr>
          <w:sz w:val="24"/>
          <w:szCs w:val="24"/>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1</w:t>
      </w:r>
      <w:r w:rsidRPr="00422E4B">
        <w:rPr>
          <w:rFonts w:eastAsiaTheme="minorEastAsia" w:hint="eastAsia"/>
          <w:b/>
          <w:sz w:val="24"/>
          <w:szCs w:val="24"/>
          <w:lang w:eastAsia="zh-CN"/>
        </w:rPr>
        <w:t>:</w:t>
      </w:r>
      <w:r>
        <w:rPr>
          <w:rFonts w:eastAsiaTheme="minorEastAsia"/>
          <w:b/>
          <w:sz w:val="24"/>
          <w:szCs w:val="24"/>
          <w:lang w:eastAsia="zh-CN"/>
        </w:rPr>
        <w:t xml:space="preserve"> The </w:t>
      </w:r>
      <w:r w:rsidRPr="00C86061">
        <w:rPr>
          <w:rFonts w:eastAsiaTheme="minorEastAsia"/>
          <w:b/>
          <w:sz w:val="24"/>
          <w:szCs w:val="24"/>
          <w:lang w:eastAsia="zh-CN"/>
        </w:rPr>
        <w:t>reference RF architecture for CA_n12-n29</w:t>
      </w:r>
      <w:r>
        <w:rPr>
          <w:rFonts w:eastAsiaTheme="minorEastAsia"/>
          <w:b/>
          <w:sz w:val="24"/>
          <w:szCs w:val="24"/>
          <w:lang w:eastAsia="zh-CN"/>
        </w:rPr>
        <w:t xml:space="preserve"> shown in the figure 1 can be considered for the discussion.</w:t>
      </w:r>
    </w:p>
    <w:p w14:paraId="54406572" w14:textId="77777777" w:rsidR="00230A0C" w:rsidRPr="00C86061" w:rsidRDefault="00230A0C" w:rsidP="00230A0C">
      <w:pPr>
        <w:pStyle w:val="B1"/>
        <w:ind w:left="0" w:firstLine="0"/>
        <w:rPr>
          <w:rFonts w:eastAsiaTheme="minorEastAsia" w:hint="eastAsia"/>
          <w:sz w:val="24"/>
          <w:szCs w:val="24"/>
          <w:lang w:eastAsia="zh-CN"/>
        </w:rPr>
      </w:pPr>
      <w:r>
        <w:rPr>
          <w:rFonts w:eastAsiaTheme="minorEastAsia"/>
          <w:b/>
          <w:sz w:val="24"/>
          <w:szCs w:val="24"/>
          <w:lang w:eastAsia="zh-CN"/>
        </w:rPr>
        <w:t>Observation</w:t>
      </w:r>
      <w:r w:rsidRPr="00422E4B">
        <w:rPr>
          <w:rFonts w:eastAsiaTheme="minorEastAsia" w:hint="eastAsia"/>
          <w:b/>
          <w:sz w:val="24"/>
          <w:szCs w:val="24"/>
          <w:lang w:eastAsia="zh-CN"/>
        </w:rPr>
        <w:t xml:space="preserve"> </w:t>
      </w:r>
      <w:r>
        <w:rPr>
          <w:rFonts w:eastAsiaTheme="minorEastAsia"/>
          <w:b/>
          <w:sz w:val="24"/>
          <w:szCs w:val="24"/>
          <w:lang w:eastAsia="zh-CN"/>
        </w:rPr>
        <w:t>1</w:t>
      </w:r>
      <w:r w:rsidRPr="00422E4B">
        <w:rPr>
          <w:rFonts w:eastAsiaTheme="minorEastAsia" w:hint="eastAsia"/>
          <w:b/>
          <w:sz w:val="24"/>
          <w:szCs w:val="24"/>
          <w:lang w:eastAsia="zh-CN"/>
        </w:rPr>
        <w:t>:</w:t>
      </w:r>
      <w:r w:rsidRPr="00280BCD">
        <w:t xml:space="preserve"> </w:t>
      </w:r>
      <w:r w:rsidRPr="00280BCD">
        <w:rPr>
          <w:rFonts w:eastAsiaTheme="minorEastAsia"/>
          <w:b/>
          <w:sz w:val="24"/>
          <w:szCs w:val="24"/>
          <w:lang w:eastAsia="zh-CN"/>
        </w:rPr>
        <w:t>the switching gap in SDL band is needed when the status is switching from Dual-DL FDD+SDL bands to UL/DL FDD band.</w:t>
      </w:r>
    </w:p>
    <w:p w14:paraId="38D994AC" w14:textId="77777777" w:rsidR="00230A0C" w:rsidRPr="00C86061" w:rsidRDefault="00230A0C" w:rsidP="00230A0C">
      <w:pPr>
        <w:pStyle w:val="B1"/>
        <w:ind w:left="0" w:firstLine="0"/>
        <w:rPr>
          <w:rFonts w:eastAsiaTheme="minorEastAsia" w:hint="eastAsia"/>
          <w:sz w:val="24"/>
          <w:szCs w:val="24"/>
          <w:lang w:eastAsia="zh-CN"/>
        </w:rPr>
      </w:pPr>
      <w:r>
        <w:rPr>
          <w:rFonts w:eastAsiaTheme="minorEastAsia"/>
          <w:b/>
          <w:sz w:val="24"/>
          <w:szCs w:val="24"/>
          <w:lang w:eastAsia="zh-CN"/>
        </w:rPr>
        <w:t>Observation</w:t>
      </w:r>
      <w:r w:rsidRPr="00422E4B">
        <w:rPr>
          <w:rFonts w:eastAsiaTheme="minorEastAsia" w:hint="eastAsia"/>
          <w:b/>
          <w:sz w:val="24"/>
          <w:szCs w:val="24"/>
          <w:lang w:eastAsia="zh-CN"/>
        </w:rPr>
        <w:t xml:space="preserve"> </w:t>
      </w:r>
      <w:r>
        <w:rPr>
          <w:rFonts w:eastAsiaTheme="minorEastAsia"/>
          <w:b/>
          <w:sz w:val="24"/>
          <w:szCs w:val="24"/>
          <w:lang w:eastAsia="zh-CN"/>
        </w:rPr>
        <w:t>2</w:t>
      </w:r>
      <w:r w:rsidRPr="00422E4B">
        <w:rPr>
          <w:rFonts w:eastAsiaTheme="minorEastAsia" w:hint="eastAsia"/>
          <w:b/>
          <w:sz w:val="24"/>
          <w:szCs w:val="24"/>
          <w:lang w:eastAsia="zh-CN"/>
        </w:rPr>
        <w:t>:</w:t>
      </w:r>
      <w:r w:rsidRPr="00280BCD">
        <w:t xml:space="preserve"> </w:t>
      </w:r>
      <w:r w:rsidRPr="00280BCD">
        <w:rPr>
          <w:rFonts w:eastAsiaTheme="minorEastAsia"/>
          <w:b/>
          <w:sz w:val="24"/>
          <w:szCs w:val="24"/>
          <w:lang w:eastAsia="zh-CN"/>
        </w:rPr>
        <w:t xml:space="preserve">the switching gap in </w:t>
      </w:r>
      <w:r>
        <w:rPr>
          <w:rFonts w:eastAsiaTheme="minorEastAsia"/>
          <w:b/>
          <w:sz w:val="24"/>
          <w:szCs w:val="24"/>
          <w:lang w:eastAsia="zh-CN"/>
        </w:rPr>
        <w:t>UL</w:t>
      </w:r>
      <w:r w:rsidRPr="00280BCD">
        <w:rPr>
          <w:rFonts w:eastAsiaTheme="minorEastAsia"/>
          <w:b/>
          <w:sz w:val="24"/>
          <w:szCs w:val="24"/>
          <w:lang w:eastAsia="zh-CN"/>
        </w:rPr>
        <w:t xml:space="preserve"> band is needed when the status is switching from Dual-DL FDD+SDL bands to UL/DL FDD band.</w:t>
      </w:r>
    </w:p>
    <w:p w14:paraId="0E296F91" w14:textId="77777777" w:rsidR="00230A0C" w:rsidRDefault="00230A0C" w:rsidP="00230A0C">
      <w:pPr>
        <w:pStyle w:val="B1"/>
        <w:ind w:left="0" w:firstLine="0"/>
        <w:rPr>
          <w:sz w:val="24"/>
          <w:szCs w:val="24"/>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2</w:t>
      </w:r>
      <w:r w:rsidRPr="00422E4B">
        <w:rPr>
          <w:rFonts w:eastAsiaTheme="minorEastAsia" w:hint="eastAsia"/>
          <w:b/>
          <w:sz w:val="24"/>
          <w:szCs w:val="24"/>
          <w:lang w:eastAsia="zh-CN"/>
        </w:rPr>
        <w:t>:</w:t>
      </w:r>
      <w:r>
        <w:rPr>
          <w:rFonts w:eastAsiaTheme="minorEastAsia"/>
          <w:b/>
          <w:sz w:val="24"/>
          <w:szCs w:val="24"/>
          <w:lang w:eastAsia="zh-CN"/>
        </w:rPr>
        <w:t xml:space="preserve"> </w:t>
      </w:r>
      <w:r w:rsidRPr="006B3474">
        <w:rPr>
          <w:rFonts w:eastAsiaTheme="minorEastAsia"/>
          <w:b/>
          <w:sz w:val="24"/>
          <w:szCs w:val="24"/>
          <w:lang w:eastAsia="zh-CN"/>
        </w:rPr>
        <w:t xml:space="preserve">RAN4 need to discuss whether UE can maintain the DL reception in DL FDD band during the switching gap from Dual-DL FDD+SDL bands to UL/DL FDD band </w:t>
      </w:r>
      <w:r>
        <w:rPr>
          <w:rFonts w:eastAsiaTheme="minorEastAsia"/>
          <w:b/>
          <w:sz w:val="24"/>
          <w:szCs w:val="24"/>
          <w:lang w:eastAsia="zh-CN"/>
        </w:rPr>
        <w:t xml:space="preserve">or </w:t>
      </w:r>
      <w:r w:rsidRPr="006B3474">
        <w:rPr>
          <w:rFonts w:eastAsiaTheme="minorEastAsia"/>
          <w:b/>
          <w:sz w:val="24"/>
          <w:szCs w:val="24"/>
          <w:lang w:eastAsia="zh-CN"/>
        </w:rPr>
        <w:t>from UL/DL FDD band to Dual-DL FDD+SDL bands.</w:t>
      </w:r>
    </w:p>
    <w:p w14:paraId="1994A4A5" w14:textId="77777777" w:rsidR="00230A0C" w:rsidRPr="00422E4B" w:rsidRDefault="00230A0C" w:rsidP="00230A0C">
      <w:pPr>
        <w:pStyle w:val="B1"/>
        <w:ind w:left="0" w:firstLine="0"/>
        <w:rPr>
          <w:rFonts w:eastAsiaTheme="minorEastAsia"/>
          <w:b/>
          <w:sz w:val="24"/>
          <w:szCs w:val="24"/>
          <w:lang w:eastAsia="zh-CN"/>
        </w:rPr>
      </w:pPr>
      <w:r w:rsidRPr="00422E4B">
        <w:rPr>
          <w:rFonts w:eastAsiaTheme="minorEastAsia" w:hint="eastAsia"/>
          <w:b/>
          <w:sz w:val="24"/>
          <w:szCs w:val="24"/>
          <w:lang w:eastAsia="zh-CN"/>
        </w:rPr>
        <w:t xml:space="preserve">Observation </w:t>
      </w:r>
      <w:r>
        <w:rPr>
          <w:rFonts w:eastAsiaTheme="minorEastAsia"/>
          <w:b/>
          <w:sz w:val="24"/>
          <w:szCs w:val="24"/>
          <w:lang w:eastAsia="zh-CN"/>
        </w:rPr>
        <w:t>3</w:t>
      </w:r>
      <w:r w:rsidRPr="00422E4B">
        <w:rPr>
          <w:rFonts w:eastAsiaTheme="minorEastAsia" w:hint="eastAsia"/>
          <w:b/>
          <w:sz w:val="24"/>
          <w:szCs w:val="24"/>
          <w:lang w:eastAsia="zh-CN"/>
        </w:rPr>
        <w:t>:</w:t>
      </w:r>
      <w:r w:rsidRPr="00422E4B">
        <w:rPr>
          <w:rFonts w:eastAsiaTheme="minorEastAsia"/>
          <w:b/>
          <w:sz w:val="24"/>
          <w:szCs w:val="24"/>
          <w:lang w:eastAsia="zh-CN"/>
        </w:rPr>
        <w:t xml:space="preserve"> current REFSENS requirements for inter-band CA specified in the clause 7.3A.2.3 of TS 38.101-1 can’t be reused for </w:t>
      </w:r>
      <w:r>
        <w:rPr>
          <w:rFonts w:eastAsiaTheme="minorEastAsia"/>
          <w:b/>
          <w:sz w:val="24"/>
          <w:szCs w:val="24"/>
          <w:lang w:eastAsia="zh-CN"/>
        </w:rPr>
        <w:t xml:space="preserve">R20 </w:t>
      </w:r>
      <w:r w:rsidRPr="00422E4B">
        <w:rPr>
          <w:b/>
          <w:sz w:val="24"/>
          <w:szCs w:val="24"/>
        </w:rPr>
        <w:t>Low-Low bands inter-band CA via switching</w:t>
      </w:r>
      <w:r w:rsidRPr="00422E4B">
        <w:rPr>
          <w:rFonts w:eastAsiaTheme="minorEastAsia"/>
          <w:b/>
          <w:sz w:val="24"/>
          <w:szCs w:val="24"/>
          <w:lang w:eastAsia="zh-CN"/>
        </w:rPr>
        <w:t xml:space="preserve">, since </w:t>
      </w:r>
      <w:r w:rsidRPr="00422E4B">
        <w:rPr>
          <w:b/>
          <w:sz w:val="24"/>
          <w:szCs w:val="24"/>
        </w:rPr>
        <w:t xml:space="preserve">current DL FDD RMC specified in clause A.3.3 of TS 38.101-1 are not applicable for </w:t>
      </w:r>
      <w:r>
        <w:rPr>
          <w:b/>
          <w:sz w:val="24"/>
          <w:szCs w:val="24"/>
        </w:rPr>
        <w:t xml:space="preserve">R20 </w:t>
      </w:r>
      <w:r w:rsidRPr="00422E4B">
        <w:rPr>
          <w:b/>
          <w:sz w:val="24"/>
          <w:szCs w:val="24"/>
        </w:rPr>
        <w:t>Low-Low bands inter-band CA via switching.</w:t>
      </w:r>
    </w:p>
    <w:p w14:paraId="359ACCCF" w14:textId="77777777" w:rsidR="00230A0C" w:rsidRPr="00DB49F2" w:rsidRDefault="00230A0C" w:rsidP="00230A0C">
      <w:pPr>
        <w:pStyle w:val="B1"/>
        <w:ind w:left="0" w:firstLine="0"/>
        <w:rPr>
          <w:rFonts w:eastAsiaTheme="minorEastAsia"/>
          <w:sz w:val="24"/>
          <w:szCs w:val="24"/>
          <w:lang w:eastAsia="zh-CN"/>
        </w:rPr>
      </w:pPr>
      <w:r w:rsidRPr="00422E4B">
        <w:rPr>
          <w:rFonts w:eastAsiaTheme="minorEastAsia" w:hint="eastAsia"/>
          <w:b/>
          <w:sz w:val="24"/>
          <w:szCs w:val="24"/>
          <w:lang w:eastAsia="zh-CN"/>
        </w:rPr>
        <w:t xml:space="preserve">Observation </w:t>
      </w:r>
      <w:r>
        <w:rPr>
          <w:rFonts w:eastAsiaTheme="minorEastAsia"/>
          <w:b/>
          <w:sz w:val="24"/>
          <w:szCs w:val="24"/>
          <w:lang w:eastAsia="zh-CN"/>
        </w:rPr>
        <w:t>4</w:t>
      </w:r>
      <w:r w:rsidRPr="00422E4B">
        <w:rPr>
          <w:rFonts w:eastAsiaTheme="minorEastAsia" w:hint="eastAsia"/>
          <w:b/>
          <w:sz w:val="24"/>
          <w:szCs w:val="24"/>
          <w:lang w:eastAsia="zh-CN"/>
        </w:rPr>
        <w:t>:</w:t>
      </w:r>
      <w:r>
        <w:rPr>
          <w:rFonts w:eastAsiaTheme="minorEastAsia"/>
          <w:b/>
          <w:sz w:val="24"/>
          <w:szCs w:val="24"/>
          <w:lang w:eastAsia="zh-CN"/>
        </w:rPr>
        <w:t xml:space="preserve"> for </w:t>
      </w:r>
      <w:r w:rsidRPr="003A744C">
        <w:rPr>
          <w:rFonts w:eastAsiaTheme="minorEastAsia"/>
          <w:b/>
          <w:sz w:val="24"/>
          <w:szCs w:val="24"/>
          <w:lang w:eastAsia="zh-CN"/>
        </w:rPr>
        <w:t>Low-Low bands inter-band CA via switching</w:t>
      </w:r>
      <w:r>
        <w:rPr>
          <w:rFonts w:eastAsiaTheme="minorEastAsia"/>
          <w:b/>
          <w:sz w:val="24"/>
          <w:szCs w:val="24"/>
          <w:lang w:eastAsia="zh-CN"/>
        </w:rPr>
        <w:t>,</w:t>
      </w:r>
      <w:r w:rsidRPr="003A744C">
        <w:rPr>
          <w:rFonts w:eastAsiaTheme="minorEastAsia"/>
          <w:b/>
          <w:sz w:val="24"/>
          <w:szCs w:val="24"/>
          <w:lang w:eastAsia="zh-CN"/>
        </w:rPr>
        <w:t xml:space="preserve"> </w:t>
      </w:r>
      <w:r>
        <w:rPr>
          <w:rFonts w:eastAsiaTheme="minorEastAsia"/>
          <w:b/>
          <w:sz w:val="24"/>
          <w:szCs w:val="24"/>
          <w:lang w:eastAsia="zh-CN"/>
        </w:rPr>
        <w:t xml:space="preserve">it’s possible to </w:t>
      </w:r>
      <w:r w:rsidRPr="003A744C">
        <w:rPr>
          <w:rFonts w:eastAsiaTheme="minorEastAsia"/>
          <w:b/>
          <w:sz w:val="24"/>
          <w:szCs w:val="24"/>
          <w:lang w:eastAsia="zh-CN"/>
        </w:rPr>
        <w:t>design a new DL RMC to verify the REFSENS requirements and the DL receiving performance for UE before and/or after the Switching gap together</w:t>
      </w:r>
      <w:r>
        <w:rPr>
          <w:rFonts w:eastAsiaTheme="minorEastAsia"/>
          <w:b/>
          <w:sz w:val="24"/>
          <w:szCs w:val="24"/>
          <w:lang w:eastAsia="zh-CN"/>
        </w:rPr>
        <w:t>.</w:t>
      </w:r>
    </w:p>
    <w:p w14:paraId="1E127ADD" w14:textId="77777777" w:rsidR="00230A0C" w:rsidRDefault="00230A0C" w:rsidP="00230A0C">
      <w:pPr>
        <w:pStyle w:val="B1"/>
        <w:ind w:left="0" w:firstLine="0"/>
        <w:rPr>
          <w:rFonts w:eastAsiaTheme="minorEastAsia"/>
          <w:b/>
          <w:sz w:val="24"/>
          <w:szCs w:val="24"/>
          <w:lang w:eastAsia="zh-CN"/>
        </w:rPr>
      </w:pPr>
      <w:bookmarkStart w:id="22" w:name="_GoBack"/>
      <w:bookmarkEnd w:id="22"/>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3</w:t>
      </w:r>
      <w:r w:rsidRPr="00422E4B">
        <w:rPr>
          <w:rFonts w:eastAsiaTheme="minorEastAsia" w:hint="eastAsia"/>
          <w:b/>
          <w:sz w:val="24"/>
          <w:szCs w:val="24"/>
          <w:lang w:eastAsia="zh-CN"/>
        </w:rPr>
        <w:t>:</w:t>
      </w:r>
      <w:r>
        <w:rPr>
          <w:rFonts w:eastAsiaTheme="minorEastAsia"/>
          <w:b/>
          <w:sz w:val="24"/>
          <w:szCs w:val="24"/>
          <w:lang w:eastAsia="zh-CN"/>
        </w:rPr>
        <w:t xml:space="preserve"> to </w:t>
      </w:r>
      <w:r w:rsidRPr="003A744C">
        <w:rPr>
          <w:rFonts w:eastAsiaTheme="minorEastAsia"/>
          <w:b/>
          <w:sz w:val="24"/>
          <w:szCs w:val="24"/>
          <w:lang w:eastAsia="zh-CN"/>
        </w:rPr>
        <w:t>design a new DL RMC to verify the REFSENS requirements and the DL receiving performance for UE before and/or after the Switching gap together</w:t>
      </w:r>
      <w:r>
        <w:rPr>
          <w:rFonts w:eastAsiaTheme="minorEastAsia"/>
          <w:b/>
          <w:sz w:val="24"/>
          <w:szCs w:val="24"/>
          <w:lang w:eastAsia="zh-CN"/>
        </w:rPr>
        <w:t>.</w:t>
      </w:r>
    </w:p>
    <w:p w14:paraId="46002E40" w14:textId="77777777" w:rsidR="00230A0C" w:rsidRDefault="00230A0C" w:rsidP="00230A0C">
      <w:pPr>
        <w:pStyle w:val="B1"/>
        <w:ind w:left="0" w:firstLine="0"/>
        <w:rPr>
          <w:rFonts w:eastAsiaTheme="minorEastAsia"/>
          <w:b/>
          <w:sz w:val="24"/>
          <w:szCs w:val="24"/>
          <w:lang w:eastAsia="zh-CN"/>
        </w:rPr>
      </w:pPr>
      <w:r>
        <w:rPr>
          <w:rFonts w:eastAsiaTheme="minorEastAsia"/>
          <w:b/>
          <w:sz w:val="24"/>
          <w:szCs w:val="24"/>
          <w:lang w:eastAsia="zh-CN"/>
        </w:rPr>
        <w:tab/>
        <w:t xml:space="preserve">3-1: </w:t>
      </w:r>
      <w:r w:rsidRPr="00311B3A">
        <w:rPr>
          <w:rFonts w:eastAsiaTheme="minorEastAsia"/>
          <w:b/>
          <w:i/>
          <w:sz w:val="24"/>
          <w:szCs w:val="24"/>
          <w:lang w:eastAsia="zh-CN"/>
        </w:rPr>
        <w:t>LBCA-SwitchingPattern</w:t>
      </w:r>
      <w:r>
        <w:rPr>
          <w:rFonts w:eastAsiaTheme="minorEastAsia"/>
          <w:b/>
          <w:sz w:val="24"/>
          <w:szCs w:val="24"/>
          <w:lang w:eastAsia="zh-CN"/>
        </w:rPr>
        <w:t>:</w:t>
      </w:r>
      <w:r w:rsidRPr="00311B3A">
        <w:rPr>
          <w:rFonts w:eastAsiaTheme="minorEastAsia"/>
          <w:b/>
          <w:sz w:val="24"/>
          <w:szCs w:val="24"/>
          <w:lang w:eastAsia="zh-CN"/>
        </w:rPr>
        <w:t xml:space="preserve"> ‘00011 00110 01100 11001 11100 11001 10011 00110’. </w:t>
      </w:r>
    </w:p>
    <w:p w14:paraId="0FFB2F69" w14:textId="77777777" w:rsidR="00230A0C" w:rsidRDefault="00230A0C" w:rsidP="00230A0C">
      <w:pPr>
        <w:pStyle w:val="B1"/>
        <w:ind w:left="0" w:firstLine="420"/>
        <w:rPr>
          <w:rFonts w:eastAsiaTheme="minorEastAsia"/>
          <w:b/>
          <w:sz w:val="24"/>
          <w:szCs w:val="24"/>
          <w:lang w:eastAsia="zh-CN"/>
        </w:rPr>
      </w:pPr>
      <w:r>
        <w:rPr>
          <w:rFonts w:eastAsiaTheme="minorEastAsia"/>
          <w:b/>
          <w:sz w:val="24"/>
          <w:szCs w:val="24"/>
          <w:lang w:eastAsia="zh-CN"/>
        </w:rPr>
        <w:t xml:space="preserve">3-2: </w:t>
      </w:r>
      <w:r w:rsidRPr="00311B3A">
        <w:rPr>
          <w:rFonts w:eastAsiaTheme="minorEastAsia"/>
          <w:b/>
          <w:sz w:val="24"/>
          <w:szCs w:val="24"/>
          <w:lang w:eastAsia="zh-CN"/>
        </w:rPr>
        <w:t xml:space="preserve">Before and/or after switching gaps (PCelltoSCell and SCelltoPCell), 2 symbols Type B PDSCH is scheduled in the DL slots except for SSB slots. </w:t>
      </w:r>
    </w:p>
    <w:p w14:paraId="325680AC" w14:textId="77777777" w:rsidR="00230A0C" w:rsidRDefault="00230A0C" w:rsidP="00230A0C">
      <w:pPr>
        <w:pStyle w:val="B1"/>
        <w:ind w:left="0" w:firstLine="420"/>
        <w:rPr>
          <w:rFonts w:eastAsiaTheme="minorEastAsia"/>
          <w:b/>
          <w:sz w:val="24"/>
          <w:szCs w:val="24"/>
          <w:lang w:eastAsia="zh-CN"/>
        </w:rPr>
      </w:pPr>
      <w:r>
        <w:rPr>
          <w:rFonts w:eastAsiaTheme="minorEastAsia"/>
          <w:b/>
          <w:sz w:val="24"/>
          <w:szCs w:val="24"/>
          <w:lang w:eastAsia="zh-CN"/>
        </w:rPr>
        <w:t xml:space="preserve">3-3: </w:t>
      </w:r>
      <w:r w:rsidRPr="00311B3A">
        <w:rPr>
          <w:rFonts w:eastAsiaTheme="minorEastAsia"/>
          <w:b/>
          <w:sz w:val="24"/>
          <w:szCs w:val="24"/>
          <w:lang w:eastAsia="zh-CN"/>
        </w:rPr>
        <w:t>one symbol PDCCH at the first symbol in each DL slot except for SSB slots.</w:t>
      </w:r>
    </w:p>
    <w:p w14:paraId="3B9322CC" w14:textId="77777777" w:rsidR="00230A0C" w:rsidRDefault="00230A0C" w:rsidP="00230A0C">
      <w:pPr>
        <w:pStyle w:val="B1"/>
        <w:ind w:left="0" w:firstLine="420"/>
        <w:rPr>
          <w:rFonts w:eastAsiaTheme="minorEastAsia"/>
          <w:b/>
          <w:sz w:val="24"/>
          <w:szCs w:val="24"/>
          <w:lang w:eastAsia="zh-CN"/>
        </w:rPr>
      </w:pPr>
      <w:r>
        <w:rPr>
          <w:rFonts w:eastAsiaTheme="minorEastAsia"/>
          <w:b/>
          <w:sz w:val="24"/>
          <w:szCs w:val="24"/>
          <w:lang w:eastAsia="zh-CN"/>
        </w:rPr>
        <w:t xml:space="preserve">3-4: </w:t>
      </w:r>
      <w:r w:rsidRPr="00311B3A">
        <w:rPr>
          <w:rFonts w:eastAsiaTheme="minorEastAsia"/>
          <w:b/>
          <w:sz w:val="24"/>
          <w:szCs w:val="24"/>
          <w:lang w:eastAsia="zh-CN"/>
        </w:rPr>
        <w:t xml:space="preserve">The diagram about DL RMC for Low-Low bands inter-band CA via switching is shown </w:t>
      </w:r>
      <w:r>
        <w:rPr>
          <w:rFonts w:eastAsiaTheme="minorEastAsia"/>
          <w:b/>
          <w:sz w:val="24"/>
          <w:szCs w:val="24"/>
          <w:lang w:eastAsia="zh-CN"/>
        </w:rPr>
        <w:t>in figure 3</w:t>
      </w:r>
      <w:r w:rsidRPr="00311B3A">
        <w:rPr>
          <w:rFonts w:eastAsiaTheme="minorEastAsia"/>
          <w:b/>
          <w:sz w:val="24"/>
          <w:szCs w:val="24"/>
          <w:lang w:eastAsia="zh-CN"/>
        </w:rPr>
        <w:t>.</w:t>
      </w:r>
    </w:p>
    <w:p w14:paraId="756AD24B" w14:textId="77777777" w:rsidR="00230A0C" w:rsidRPr="00230A0C" w:rsidRDefault="00230A0C" w:rsidP="00F06B1C">
      <w:pPr>
        <w:rPr>
          <w:rFonts w:eastAsiaTheme="minorEastAsia" w:hint="eastAsia"/>
          <w:lang w:eastAsia="zh-CN"/>
        </w:rPr>
      </w:pPr>
    </w:p>
    <w:p w14:paraId="74F47D6E" w14:textId="6CEEE47C" w:rsidR="009267C2" w:rsidRPr="00AB3D40" w:rsidRDefault="009267C2" w:rsidP="009267C2">
      <w:pPr>
        <w:pStyle w:val="1"/>
        <w:rPr>
          <w:lang w:eastAsia="zh-CN"/>
        </w:rPr>
      </w:pPr>
      <w:r>
        <w:t>Reference</w:t>
      </w:r>
    </w:p>
    <w:p w14:paraId="69713252" w14:textId="53EE274F" w:rsidR="00F62330"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4D299A" w:rsidRPr="004D299A">
        <w:rPr>
          <w:rFonts w:eastAsiaTheme="minorEastAsia"/>
          <w:sz w:val="24"/>
          <w:szCs w:val="24"/>
          <w:lang w:eastAsia="zh-CN"/>
        </w:rPr>
        <w:t>RP-252953</w:t>
      </w:r>
      <w:r w:rsidR="00F62330">
        <w:rPr>
          <w:rFonts w:eastAsiaTheme="minorEastAsia"/>
          <w:sz w:val="24"/>
          <w:szCs w:val="24"/>
          <w:lang w:eastAsia="zh-CN"/>
        </w:rPr>
        <w:t>, “</w:t>
      </w:r>
      <w:r w:rsidR="004D299A" w:rsidRPr="004D299A">
        <w:rPr>
          <w:rFonts w:eastAsiaTheme="minorEastAsia"/>
          <w:sz w:val="24"/>
          <w:szCs w:val="24"/>
          <w:lang w:eastAsia="zh-CN"/>
        </w:rPr>
        <w:t>New WID on enhancement of low NR band carrier aggregation via switching</w:t>
      </w:r>
      <w:r w:rsidR="00F62330">
        <w:rPr>
          <w:rFonts w:eastAsiaTheme="minorEastAsia"/>
          <w:sz w:val="24"/>
          <w:szCs w:val="24"/>
          <w:lang w:eastAsia="zh-CN"/>
        </w:rPr>
        <w:t xml:space="preserve">”, </w:t>
      </w:r>
      <w:r w:rsidR="004D299A" w:rsidRPr="004D299A">
        <w:rPr>
          <w:rFonts w:eastAsiaTheme="minorEastAsia"/>
          <w:sz w:val="24"/>
          <w:szCs w:val="24"/>
          <w:lang w:eastAsia="zh-CN"/>
        </w:rPr>
        <w:t>Moderator (Huawei)</w:t>
      </w:r>
    </w:p>
    <w:p w14:paraId="0C5F6C26" w14:textId="77777777" w:rsidR="009A63C2" w:rsidRPr="001264EE" w:rsidRDefault="009A63C2" w:rsidP="009267C2">
      <w:pPr>
        <w:pStyle w:val="B1"/>
        <w:ind w:left="0" w:firstLine="0"/>
        <w:rPr>
          <w:rFonts w:eastAsiaTheme="minorEastAsia"/>
          <w:lang w:eastAsia="zh-CN"/>
        </w:rPr>
      </w:pPr>
    </w:p>
    <w:sectPr w:rsidR="009A63C2" w:rsidRPr="001264EE"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113914" w14:textId="77777777" w:rsidR="00201C9C" w:rsidRPr="00A10429" w:rsidRDefault="00201C9C" w:rsidP="0064547A">
      <w:pPr>
        <w:spacing w:after="0"/>
        <w:rPr>
          <w:kern w:val="2"/>
          <w:lang w:eastAsia="zh-CN"/>
        </w:rPr>
      </w:pPr>
      <w:r>
        <w:separator/>
      </w:r>
    </w:p>
  </w:endnote>
  <w:endnote w:type="continuationSeparator" w:id="0">
    <w:p w14:paraId="3152F71A" w14:textId="77777777" w:rsidR="00201C9C" w:rsidRPr="00A10429" w:rsidRDefault="00201C9C"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4411F6" w14:textId="77777777" w:rsidR="00201C9C" w:rsidRPr="00A10429" w:rsidRDefault="00201C9C" w:rsidP="0064547A">
      <w:pPr>
        <w:spacing w:after="0"/>
        <w:rPr>
          <w:kern w:val="2"/>
          <w:lang w:eastAsia="zh-CN"/>
        </w:rPr>
      </w:pPr>
      <w:r>
        <w:separator/>
      </w:r>
    </w:p>
  </w:footnote>
  <w:footnote w:type="continuationSeparator" w:id="0">
    <w:p w14:paraId="4418823C" w14:textId="77777777" w:rsidR="00201C9C" w:rsidRPr="00A10429" w:rsidRDefault="00201C9C"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66BC5"/>
    <w:multiLevelType w:val="hybridMultilevel"/>
    <w:tmpl w:val="36D2809A"/>
    <w:lvl w:ilvl="0" w:tplc="85EAC258">
      <w:start w:val="1"/>
      <w:numFmt w:val="decimal"/>
      <w:lvlText w:val="%1)"/>
      <w:lvlJc w:val="left"/>
      <w:pPr>
        <w:ind w:left="1200" w:hanging="360"/>
      </w:pPr>
      <w:rPr>
        <w:rFonts w:hint="default"/>
        <w:b/>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750EB7"/>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3"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8" w15:restartNumberingAfterBreak="0">
    <w:nsid w:val="5E7F772F"/>
    <w:multiLevelType w:val="multilevel"/>
    <w:tmpl w:val="5E7F7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DD53D2"/>
    <w:multiLevelType w:val="hybridMultilevel"/>
    <w:tmpl w:val="E2AC612E"/>
    <w:lvl w:ilvl="0" w:tplc="967EC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AC44AB"/>
    <w:multiLevelType w:val="hybridMultilevel"/>
    <w:tmpl w:val="E2AC612E"/>
    <w:lvl w:ilvl="0" w:tplc="967EC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14"/>
  </w:num>
  <w:num w:numId="3">
    <w:abstractNumId w:val="29"/>
  </w:num>
  <w:num w:numId="4">
    <w:abstractNumId w:val="12"/>
  </w:num>
  <w:num w:numId="5">
    <w:abstractNumId w:val="5"/>
  </w:num>
  <w:num w:numId="6">
    <w:abstractNumId w:val="20"/>
  </w:num>
  <w:num w:numId="7">
    <w:abstractNumId w:val="4"/>
  </w:num>
  <w:num w:numId="8">
    <w:abstractNumId w:val="19"/>
  </w:num>
  <w:num w:numId="9">
    <w:abstractNumId w:val="33"/>
  </w:num>
  <w:num w:numId="10">
    <w:abstractNumId w:val="33"/>
  </w:num>
  <w:num w:numId="11">
    <w:abstractNumId w:val="2"/>
  </w:num>
  <w:num w:numId="12">
    <w:abstractNumId w:val="8"/>
  </w:num>
  <w:num w:numId="13">
    <w:abstractNumId w:val="7"/>
  </w:num>
  <w:num w:numId="14">
    <w:abstractNumId w:val="27"/>
  </w:num>
  <w:num w:numId="15">
    <w:abstractNumId w:val="33"/>
  </w:num>
  <w:num w:numId="16">
    <w:abstractNumId w:val="33"/>
  </w:num>
  <w:num w:numId="17">
    <w:abstractNumId w:val="18"/>
  </w:num>
  <w:num w:numId="18">
    <w:abstractNumId w:val="34"/>
  </w:num>
  <w:num w:numId="19">
    <w:abstractNumId w:val="33"/>
  </w:num>
  <w:num w:numId="20">
    <w:abstractNumId w:val="6"/>
  </w:num>
  <w:num w:numId="21">
    <w:abstractNumId w:val="33"/>
  </w:num>
  <w:num w:numId="22">
    <w:abstractNumId w:val="33"/>
  </w:num>
  <w:num w:numId="23">
    <w:abstractNumId w:val="9"/>
  </w:num>
  <w:num w:numId="24">
    <w:abstractNumId w:val="3"/>
  </w:num>
  <w:num w:numId="25">
    <w:abstractNumId w:val="1"/>
  </w:num>
  <w:num w:numId="26">
    <w:abstractNumId w:val="10"/>
  </w:num>
  <w:num w:numId="27">
    <w:abstractNumId w:val="11"/>
  </w:num>
  <w:num w:numId="28">
    <w:abstractNumId w:val="21"/>
  </w:num>
  <w:num w:numId="29">
    <w:abstractNumId w:val="23"/>
  </w:num>
  <w:num w:numId="30">
    <w:abstractNumId w:val="17"/>
  </w:num>
  <w:num w:numId="31">
    <w:abstractNumId w:val="16"/>
  </w:num>
  <w:num w:numId="32">
    <w:abstractNumId w:val="26"/>
  </w:num>
  <w:num w:numId="33">
    <w:abstractNumId w:val="25"/>
  </w:num>
  <w:num w:numId="34">
    <w:abstractNumId w:val="15"/>
  </w:num>
  <w:num w:numId="35">
    <w:abstractNumId w:val="32"/>
  </w:num>
  <w:num w:numId="36">
    <w:abstractNumId w:val="24"/>
  </w:num>
  <w:num w:numId="37">
    <w:abstractNumId w:val="0"/>
  </w:num>
  <w:num w:numId="38">
    <w:abstractNumId w:val="30"/>
  </w:num>
  <w:num w:numId="39">
    <w:abstractNumId w:val="31"/>
  </w:num>
  <w:num w:numId="40">
    <w:abstractNumId w:val="28"/>
  </w:num>
  <w:num w:numId="41">
    <w:abstractNumId w:val="13"/>
  </w:num>
  <w:num w:numId="42">
    <w:abstractNumId w:val="22"/>
    <w:lvlOverride w:ilvl="0"/>
    <w:lvlOverride w:ilvl="1"/>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BD7"/>
    <w:rsid w:val="00001291"/>
    <w:rsid w:val="00001698"/>
    <w:rsid w:val="00001E08"/>
    <w:rsid w:val="0000283E"/>
    <w:rsid w:val="00002AF8"/>
    <w:rsid w:val="0000311D"/>
    <w:rsid w:val="000049B1"/>
    <w:rsid w:val="00004B4A"/>
    <w:rsid w:val="00005055"/>
    <w:rsid w:val="0000532F"/>
    <w:rsid w:val="00005510"/>
    <w:rsid w:val="0000585F"/>
    <w:rsid w:val="00005EF8"/>
    <w:rsid w:val="0000664B"/>
    <w:rsid w:val="000066AC"/>
    <w:rsid w:val="000068DA"/>
    <w:rsid w:val="0000695D"/>
    <w:rsid w:val="00006D4F"/>
    <w:rsid w:val="00007783"/>
    <w:rsid w:val="0000788B"/>
    <w:rsid w:val="00010FCF"/>
    <w:rsid w:val="0001144F"/>
    <w:rsid w:val="00011767"/>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0F22"/>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2D87"/>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6C5"/>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2CD9"/>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3E58"/>
    <w:rsid w:val="00103E7A"/>
    <w:rsid w:val="0010582B"/>
    <w:rsid w:val="00106F66"/>
    <w:rsid w:val="00107C55"/>
    <w:rsid w:val="00107FF8"/>
    <w:rsid w:val="00110C09"/>
    <w:rsid w:val="001120B3"/>
    <w:rsid w:val="001126EF"/>
    <w:rsid w:val="00112B0B"/>
    <w:rsid w:val="0011368D"/>
    <w:rsid w:val="001148F6"/>
    <w:rsid w:val="00114FA5"/>
    <w:rsid w:val="001155AC"/>
    <w:rsid w:val="00115762"/>
    <w:rsid w:val="001169FE"/>
    <w:rsid w:val="00116A2D"/>
    <w:rsid w:val="00116D97"/>
    <w:rsid w:val="0011722B"/>
    <w:rsid w:val="001208B7"/>
    <w:rsid w:val="0012169C"/>
    <w:rsid w:val="00121FF5"/>
    <w:rsid w:val="00123821"/>
    <w:rsid w:val="00124289"/>
    <w:rsid w:val="00124E13"/>
    <w:rsid w:val="001264EE"/>
    <w:rsid w:val="00126CA6"/>
    <w:rsid w:val="001308F6"/>
    <w:rsid w:val="0013169D"/>
    <w:rsid w:val="00132700"/>
    <w:rsid w:val="0013378D"/>
    <w:rsid w:val="00133D05"/>
    <w:rsid w:val="00134361"/>
    <w:rsid w:val="00134649"/>
    <w:rsid w:val="00136061"/>
    <w:rsid w:val="00136834"/>
    <w:rsid w:val="00136F3D"/>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5288A"/>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013"/>
    <w:rsid w:val="001A2689"/>
    <w:rsid w:val="001A3158"/>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3793"/>
    <w:rsid w:val="001C459E"/>
    <w:rsid w:val="001C59D2"/>
    <w:rsid w:val="001C5C14"/>
    <w:rsid w:val="001C6163"/>
    <w:rsid w:val="001C6564"/>
    <w:rsid w:val="001C7654"/>
    <w:rsid w:val="001C7AEA"/>
    <w:rsid w:val="001C7F05"/>
    <w:rsid w:val="001D0102"/>
    <w:rsid w:val="001D012A"/>
    <w:rsid w:val="001D0238"/>
    <w:rsid w:val="001D08EA"/>
    <w:rsid w:val="001D0B69"/>
    <w:rsid w:val="001D10AC"/>
    <w:rsid w:val="001D2063"/>
    <w:rsid w:val="001D2361"/>
    <w:rsid w:val="001D273C"/>
    <w:rsid w:val="001D36C0"/>
    <w:rsid w:val="001D4516"/>
    <w:rsid w:val="001D4FDF"/>
    <w:rsid w:val="001D59D0"/>
    <w:rsid w:val="001D7276"/>
    <w:rsid w:val="001D76A8"/>
    <w:rsid w:val="001D7703"/>
    <w:rsid w:val="001E03BF"/>
    <w:rsid w:val="001E04CA"/>
    <w:rsid w:val="001E0541"/>
    <w:rsid w:val="001E126E"/>
    <w:rsid w:val="001E139E"/>
    <w:rsid w:val="001E2128"/>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1C9C"/>
    <w:rsid w:val="00201CA9"/>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4BE"/>
    <w:rsid w:val="00215978"/>
    <w:rsid w:val="002173C7"/>
    <w:rsid w:val="00217A80"/>
    <w:rsid w:val="0022200D"/>
    <w:rsid w:val="00222346"/>
    <w:rsid w:val="00222BE2"/>
    <w:rsid w:val="00223700"/>
    <w:rsid w:val="00223FC1"/>
    <w:rsid w:val="0022422B"/>
    <w:rsid w:val="0022451D"/>
    <w:rsid w:val="00224F99"/>
    <w:rsid w:val="00225AF7"/>
    <w:rsid w:val="0022640E"/>
    <w:rsid w:val="0022659A"/>
    <w:rsid w:val="002267D6"/>
    <w:rsid w:val="00226E46"/>
    <w:rsid w:val="00227636"/>
    <w:rsid w:val="00230138"/>
    <w:rsid w:val="00230A0C"/>
    <w:rsid w:val="00230DA4"/>
    <w:rsid w:val="00230F58"/>
    <w:rsid w:val="002329AA"/>
    <w:rsid w:val="002337C2"/>
    <w:rsid w:val="0023431B"/>
    <w:rsid w:val="002344FE"/>
    <w:rsid w:val="002353AF"/>
    <w:rsid w:val="00235BCF"/>
    <w:rsid w:val="00235E3B"/>
    <w:rsid w:val="00235F90"/>
    <w:rsid w:val="0023691D"/>
    <w:rsid w:val="00240EE5"/>
    <w:rsid w:val="00241635"/>
    <w:rsid w:val="00241943"/>
    <w:rsid w:val="00241BD4"/>
    <w:rsid w:val="00241EB2"/>
    <w:rsid w:val="00241FA1"/>
    <w:rsid w:val="00242879"/>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4B28"/>
    <w:rsid w:val="002753F6"/>
    <w:rsid w:val="002758E6"/>
    <w:rsid w:val="00275C6C"/>
    <w:rsid w:val="002765B2"/>
    <w:rsid w:val="00276AD0"/>
    <w:rsid w:val="00276FF1"/>
    <w:rsid w:val="00280BCD"/>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0A"/>
    <w:rsid w:val="002A02B7"/>
    <w:rsid w:val="002A0599"/>
    <w:rsid w:val="002A1A4D"/>
    <w:rsid w:val="002A4635"/>
    <w:rsid w:val="002A6695"/>
    <w:rsid w:val="002A6CB5"/>
    <w:rsid w:val="002A6FAE"/>
    <w:rsid w:val="002A71AA"/>
    <w:rsid w:val="002A7450"/>
    <w:rsid w:val="002B03B3"/>
    <w:rsid w:val="002B3FCC"/>
    <w:rsid w:val="002B4EF5"/>
    <w:rsid w:val="002B584E"/>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7E4C"/>
    <w:rsid w:val="002E0814"/>
    <w:rsid w:val="002E0B43"/>
    <w:rsid w:val="002E0C68"/>
    <w:rsid w:val="002E15F1"/>
    <w:rsid w:val="002E1AA9"/>
    <w:rsid w:val="002E2071"/>
    <w:rsid w:val="002E23DF"/>
    <w:rsid w:val="002E2404"/>
    <w:rsid w:val="002E2F7F"/>
    <w:rsid w:val="002E35B8"/>
    <w:rsid w:val="002E36ED"/>
    <w:rsid w:val="002E38AA"/>
    <w:rsid w:val="002E3B3A"/>
    <w:rsid w:val="002E3F07"/>
    <w:rsid w:val="002E43BF"/>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656"/>
    <w:rsid w:val="00302D41"/>
    <w:rsid w:val="003030A0"/>
    <w:rsid w:val="00303292"/>
    <w:rsid w:val="003041DD"/>
    <w:rsid w:val="00305269"/>
    <w:rsid w:val="00305A3C"/>
    <w:rsid w:val="0030757F"/>
    <w:rsid w:val="00307C43"/>
    <w:rsid w:val="00310AC0"/>
    <w:rsid w:val="00310CAF"/>
    <w:rsid w:val="00310D6F"/>
    <w:rsid w:val="00310D9D"/>
    <w:rsid w:val="00311B3A"/>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5E24"/>
    <w:rsid w:val="00357512"/>
    <w:rsid w:val="00357962"/>
    <w:rsid w:val="0036050E"/>
    <w:rsid w:val="00360E89"/>
    <w:rsid w:val="00362355"/>
    <w:rsid w:val="0036506F"/>
    <w:rsid w:val="00365191"/>
    <w:rsid w:val="00365C17"/>
    <w:rsid w:val="0036626B"/>
    <w:rsid w:val="003666B7"/>
    <w:rsid w:val="00366A37"/>
    <w:rsid w:val="00366B7E"/>
    <w:rsid w:val="00367318"/>
    <w:rsid w:val="0036745A"/>
    <w:rsid w:val="00367BA3"/>
    <w:rsid w:val="00367D1E"/>
    <w:rsid w:val="00370C07"/>
    <w:rsid w:val="00372A7D"/>
    <w:rsid w:val="00372E2E"/>
    <w:rsid w:val="0037336A"/>
    <w:rsid w:val="003737BE"/>
    <w:rsid w:val="00373DFE"/>
    <w:rsid w:val="00374925"/>
    <w:rsid w:val="0037549D"/>
    <w:rsid w:val="00375B26"/>
    <w:rsid w:val="00375E55"/>
    <w:rsid w:val="0037652B"/>
    <w:rsid w:val="0037666E"/>
    <w:rsid w:val="00376BED"/>
    <w:rsid w:val="00377D58"/>
    <w:rsid w:val="00377DDC"/>
    <w:rsid w:val="00380711"/>
    <w:rsid w:val="00380FFC"/>
    <w:rsid w:val="00381ACC"/>
    <w:rsid w:val="00382597"/>
    <w:rsid w:val="00382A1A"/>
    <w:rsid w:val="00382AEA"/>
    <w:rsid w:val="00382C11"/>
    <w:rsid w:val="00382CCA"/>
    <w:rsid w:val="00382E6F"/>
    <w:rsid w:val="00383EF8"/>
    <w:rsid w:val="0038493A"/>
    <w:rsid w:val="00384B95"/>
    <w:rsid w:val="0038567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DAA"/>
    <w:rsid w:val="003A4488"/>
    <w:rsid w:val="003A4C2D"/>
    <w:rsid w:val="003A62C5"/>
    <w:rsid w:val="003A63F6"/>
    <w:rsid w:val="003A7061"/>
    <w:rsid w:val="003A744C"/>
    <w:rsid w:val="003A7A32"/>
    <w:rsid w:val="003B0020"/>
    <w:rsid w:val="003B0194"/>
    <w:rsid w:val="003B2308"/>
    <w:rsid w:val="003B2F49"/>
    <w:rsid w:val="003B32B4"/>
    <w:rsid w:val="003B4550"/>
    <w:rsid w:val="003B4810"/>
    <w:rsid w:val="003B4DAB"/>
    <w:rsid w:val="003B6130"/>
    <w:rsid w:val="003B643C"/>
    <w:rsid w:val="003B6E0D"/>
    <w:rsid w:val="003B7087"/>
    <w:rsid w:val="003B77B8"/>
    <w:rsid w:val="003B7AAC"/>
    <w:rsid w:val="003C0278"/>
    <w:rsid w:val="003C0BB7"/>
    <w:rsid w:val="003C0FB5"/>
    <w:rsid w:val="003C1039"/>
    <w:rsid w:val="003C1439"/>
    <w:rsid w:val="003C2B65"/>
    <w:rsid w:val="003C421A"/>
    <w:rsid w:val="003C4B33"/>
    <w:rsid w:val="003C63A7"/>
    <w:rsid w:val="003C77D2"/>
    <w:rsid w:val="003D02D5"/>
    <w:rsid w:val="003D069C"/>
    <w:rsid w:val="003D0728"/>
    <w:rsid w:val="003D1BB6"/>
    <w:rsid w:val="003D2634"/>
    <w:rsid w:val="003D2EA7"/>
    <w:rsid w:val="003D30E2"/>
    <w:rsid w:val="003D3904"/>
    <w:rsid w:val="003D57E8"/>
    <w:rsid w:val="003D5FD7"/>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643"/>
    <w:rsid w:val="00400456"/>
    <w:rsid w:val="00400C4A"/>
    <w:rsid w:val="00401014"/>
    <w:rsid w:val="004012B3"/>
    <w:rsid w:val="0040193A"/>
    <w:rsid w:val="00401B84"/>
    <w:rsid w:val="0040266A"/>
    <w:rsid w:val="00402879"/>
    <w:rsid w:val="00403C32"/>
    <w:rsid w:val="004048E5"/>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09DA"/>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482"/>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4C"/>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5E1D"/>
    <w:rsid w:val="004C63A8"/>
    <w:rsid w:val="004C651B"/>
    <w:rsid w:val="004C671F"/>
    <w:rsid w:val="004C75CD"/>
    <w:rsid w:val="004C7841"/>
    <w:rsid w:val="004C7988"/>
    <w:rsid w:val="004C7B89"/>
    <w:rsid w:val="004D0C31"/>
    <w:rsid w:val="004D1463"/>
    <w:rsid w:val="004D21DE"/>
    <w:rsid w:val="004D2906"/>
    <w:rsid w:val="004D299A"/>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0DE"/>
    <w:rsid w:val="004F34CA"/>
    <w:rsid w:val="004F363F"/>
    <w:rsid w:val="004F3F4E"/>
    <w:rsid w:val="004F4D22"/>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A4A"/>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4ECC"/>
    <w:rsid w:val="00525095"/>
    <w:rsid w:val="0052512E"/>
    <w:rsid w:val="00525F4C"/>
    <w:rsid w:val="00526534"/>
    <w:rsid w:val="00526B4B"/>
    <w:rsid w:val="0052771D"/>
    <w:rsid w:val="00527A63"/>
    <w:rsid w:val="00527C83"/>
    <w:rsid w:val="0053231C"/>
    <w:rsid w:val="005329C0"/>
    <w:rsid w:val="00532AA1"/>
    <w:rsid w:val="005335CB"/>
    <w:rsid w:val="00533F97"/>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6C8"/>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2D6"/>
    <w:rsid w:val="005745C0"/>
    <w:rsid w:val="005746CE"/>
    <w:rsid w:val="00576150"/>
    <w:rsid w:val="00577915"/>
    <w:rsid w:val="00577AA2"/>
    <w:rsid w:val="00577B03"/>
    <w:rsid w:val="00580585"/>
    <w:rsid w:val="005815CA"/>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B7350"/>
    <w:rsid w:val="005C04DB"/>
    <w:rsid w:val="005C0CDA"/>
    <w:rsid w:val="005C16FD"/>
    <w:rsid w:val="005C21C7"/>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F59"/>
    <w:rsid w:val="005D4072"/>
    <w:rsid w:val="005D4CC4"/>
    <w:rsid w:val="005D4F18"/>
    <w:rsid w:val="005D7714"/>
    <w:rsid w:val="005E023C"/>
    <w:rsid w:val="005E05CD"/>
    <w:rsid w:val="005E0973"/>
    <w:rsid w:val="005E0E55"/>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0B2"/>
    <w:rsid w:val="00662783"/>
    <w:rsid w:val="006629A3"/>
    <w:rsid w:val="00663A4E"/>
    <w:rsid w:val="00664A94"/>
    <w:rsid w:val="00664CD3"/>
    <w:rsid w:val="00664E34"/>
    <w:rsid w:val="00665910"/>
    <w:rsid w:val="00665D37"/>
    <w:rsid w:val="00665FDC"/>
    <w:rsid w:val="006667DA"/>
    <w:rsid w:val="00666869"/>
    <w:rsid w:val="00670570"/>
    <w:rsid w:val="006707C2"/>
    <w:rsid w:val="006711A3"/>
    <w:rsid w:val="006711E9"/>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90FA0"/>
    <w:rsid w:val="00690FEC"/>
    <w:rsid w:val="006913AD"/>
    <w:rsid w:val="00691654"/>
    <w:rsid w:val="0069170F"/>
    <w:rsid w:val="006918F9"/>
    <w:rsid w:val="00691A2B"/>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E3"/>
    <w:rsid w:val="006A1B63"/>
    <w:rsid w:val="006A208C"/>
    <w:rsid w:val="006A21DB"/>
    <w:rsid w:val="006A2C66"/>
    <w:rsid w:val="006A3C50"/>
    <w:rsid w:val="006A44D6"/>
    <w:rsid w:val="006A7060"/>
    <w:rsid w:val="006A72E9"/>
    <w:rsid w:val="006A7CCE"/>
    <w:rsid w:val="006B0917"/>
    <w:rsid w:val="006B1514"/>
    <w:rsid w:val="006B287B"/>
    <w:rsid w:val="006B2D11"/>
    <w:rsid w:val="006B3474"/>
    <w:rsid w:val="006C032D"/>
    <w:rsid w:val="006C05F5"/>
    <w:rsid w:val="006C0D1A"/>
    <w:rsid w:val="006C1871"/>
    <w:rsid w:val="006C1B61"/>
    <w:rsid w:val="006C25A3"/>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469F"/>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472"/>
    <w:rsid w:val="00732763"/>
    <w:rsid w:val="00732A4A"/>
    <w:rsid w:val="0073332B"/>
    <w:rsid w:val="0073337E"/>
    <w:rsid w:val="0073371F"/>
    <w:rsid w:val="00734046"/>
    <w:rsid w:val="007341C3"/>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7F49"/>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0C1"/>
    <w:rsid w:val="007A013F"/>
    <w:rsid w:val="007A0F4D"/>
    <w:rsid w:val="007A1208"/>
    <w:rsid w:val="007A14B0"/>
    <w:rsid w:val="007A14B8"/>
    <w:rsid w:val="007A1832"/>
    <w:rsid w:val="007A18A5"/>
    <w:rsid w:val="007A334B"/>
    <w:rsid w:val="007A3B4D"/>
    <w:rsid w:val="007A3E2D"/>
    <w:rsid w:val="007A3F0B"/>
    <w:rsid w:val="007A443E"/>
    <w:rsid w:val="007A4D8A"/>
    <w:rsid w:val="007A544F"/>
    <w:rsid w:val="007A58DF"/>
    <w:rsid w:val="007A5C28"/>
    <w:rsid w:val="007A6026"/>
    <w:rsid w:val="007A798B"/>
    <w:rsid w:val="007A7F62"/>
    <w:rsid w:val="007B043E"/>
    <w:rsid w:val="007B10C8"/>
    <w:rsid w:val="007B15C2"/>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7522"/>
    <w:rsid w:val="007F00E1"/>
    <w:rsid w:val="007F074D"/>
    <w:rsid w:val="007F0C30"/>
    <w:rsid w:val="007F1517"/>
    <w:rsid w:val="007F19C1"/>
    <w:rsid w:val="007F212C"/>
    <w:rsid w:val="007F2D1B"/>
    <w:rsid w:val="007F3773"/>
    <w:rsid w:val="007F3B02"/>
    <w:rsid w:val="007F4465"/>
    <w:rsid w:val="007F471C"/>
    <w:rsid w:val="007F4974"/>
    <w:rsid w:val="007F4B58"/>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8C"/>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185E"/>
    <w:rsid w:val="008222E4"/>
    <w:rsid w:val="008227E7"/>
    <w:rsid w:val="00822A7C"/>
    <w:rsid w:val="00822C30"/>
    <w:rsid w:val="008239D4"/>
    <w:rsid w:val="00823D07"/>
    <w:rsid w:val="00823D23"/>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4809"/>
    <w:rsid w:val="00845A7E"/>
    <w:rsid w:val="00845D3A"/>
    <w:rsid w:val="00846D6D"/>
    <w:rsid w:val="00846D88"/>
    <w:rsid w:val="00847D0A"/>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5C2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957"/>
    <w:rsid w:val="00890B0F"/>
    <w:rsid w:val="00891B6B"/>
    <w:rsid w:val="00894402"/>
    <w:rsid w:val="0089462D"/>
    <w:rsid w:val="008946FF"/>
    <w:rsid w:val="00894CB2"/>
    <w:rsid w:val="008957E1"/>
    <w:rsid w:val="00895962"/>
    <w:rsid w:val="008963C9"/>
    <w:rsid w:val="00897BDF"/>
    <w:rsid w:val="00897C90"/>
    <w:rsid w:val="008A04E4"/>
    <w:rsid w:val="008A0544"/>
    <w:rsid w:val="008A156C"/>
    <w:rsid w:val="008A1C0C"/>
    <w:rsid w:val="008A24E9"/>
    <w:rsid w:val="008A27DC"/>
    <w:rsid w:val="008A2FC0"/>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044C"/>
    <w:rsid w:val="0090096E"/>
    <w:rsid w:val="009018E5"/>
    <w:rsid w:val="00901A6C"/>
    <w:rsid w:val="00902927"/>
    <w:rsid w:val="00902D50"/>
    <w:rsid w:val="00902E35"/>
    <w:rsid w:val="00903940"/>
    <w:rsid w:val="00903A60"/>
    <w:rsid w:val="009049F1"/>
    <w:rsid w:val="0090527F"/>
    <w:rsid w:val="00906705"/>
    <w:rsid w:val="00906A6B"/>
    <w:rsid w:val="00910517"/>
    <w:rsid w:val="00910A50"/>
    <w:rsid w:val="00911A69"/>
    <w:rsid w:val="00911DE1"/>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ADF"/>
    <w:rsid w:val="00923BC1"/>
    <w:rsid w:val="00924515"/>
    <w:rsid w:val="00924B7E"/>
    <w:rsid w:val="0092529D"/>
    <w:rsid w:val="009267C2"/>
    <w:rsid w:val="009276B3"/>
    <w:rsid w:val="00927894"/>
    <w:rsid w:val="00930120"/>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875BE"/>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1E21"/>
    <w:rsid w:val="009A2D55"/>
    <w:rsid w:val="009A2FAC"/>
    <w:rsid w:val="009A3445"/>
    <w:rsid w:val="009A3674"/>
    <w:rsid w:val="009A5636"/>
    <w:rsid w:val="009A59DC"/>
    <w:rsid w:val="009A5C5B"/>
    <w:rsid w:val="009A63C2"/>
    <w:rsid w:val="009A7288"/>
    <w:rsid w:val="009A7963"/>
    <w:rsid w:val="009B03FF"/>
    <w:rsid w:val="009B04A5"/>
    <w:rsid w:val="009B09D6"/>
    <w:rsid w:val="009B0F6A"/>
    <w:rsid w:val="009B1657"/>
    <w:rsid w:val="009B25DD"/>
    <w:rsid w:val="009B25E3"/>
    <w:rsid w:val="009B2D62"/>
    <w:rsid w:val="009B2E09"/>
    <w:rsid w:val="009B3553"/>
    <w:rsid w:val="009B3E95"/>
    <w:rsid w:val="009B4599"/>
    <w:rsid w:val="009B4678"/>
    <w:rsid w:val="009B4709"/>
    <w:rsid w:val="009B4AC5"/>
    <w:rsid w:val="009B50C3"/>
    <w:rsid w:val="009B6933"/>
    <w:rsid w:val="009B6BA5"/>
    <w:rsid w:val="009B6C2F"/>
    <w:rsid w:val="009B7152"/>
    <w:rsid w:val="009C0B8F"/>
    <w:rsid w:val="009C114A"/>
    <w:rsid w:val="009C211E"/>
    <w:rsid w:val="009C290F"/>
    <w:rsid w:val="009C3533"/>
    <w:rsid w:val="009C378B"/>
    <w:rsid w:val="009C4082"/>
    <w:rsid w:val="009C5BA9"/>
    <w:rsid w:val="009C5FA7"/>
    <w:rsid w:val="009C66C4"/>
    <w:rsid w:val="009C71E1"/>
    <w:rsid w:val="009D005C"/>
    <w:rsid w:val="009D0685"/>
    <w:rsid w:val="009D1598"/>
    <w:rsid w:val="009D2F25"/>
    <w:rsid w:val="009D364B"/>
    <w:rsid w:val="009D3D73"/>
    <w:rsid w:val="009D42B9"/>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4C30"/>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333"/>
    <w:rsid w:val="00A275FC"/>
    <w:rsid w:val="00A27712"/>
    <w:rsid w:val="00A30842"/>
    <w:rsid w:val="00A30ACE"/>
    <w:rsid w:val="00A313FD"/>
    <w:rsid w:val="00A329B4"/>
    <w:rsid w:val="00A3376D"/>
    <w:rsid w:val="00A33C39"/>
    <w:rsid w:val="00A34107"/>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2A64"/>
    <w:rsid w:val="00A43B77"/>
    <w:rsid w:val="00A44551"/>
    <w:rsid w:val="00A4462F"/>
    <w:rsid w:val="00A456A1"/>
    <w:rsid w:val="00A47CF4"/>
    <w:rsid w:val="00A515A6"/>
    <w:rsid w:val="00A51758"/>
    <w:rsid w:val="00A53700"/>
    <w:rsid w:val="00A53C72"/>
    <w:rsid w:val="00A54657"/>
    <w:rsid w:val="00A5473D"/>
    <w:rsid w:val="00A55FF9"/>
    <w:rsid w:val="00A57195"/>
    <w:rsid w:val="00A60708"/>
    <w:rsid w:val="00A622CC"/>
    <w:rsid w:val="00A629CC"/>
    <w:rsid w:val="00A62EA2"/>
    <w:rsid w:val="00A64923"/>
    <w:rsid w:val="00A64CE4"/>
    <w:rsid w:val="00A64E28"/>
    <w:rsid w:val="00A64E82"/>
    <w:rsid w:val="00A64F8D"/>
    <w:rsid w:val="00A655BF"/>
    <w:rsid w:val="00A657E4"/>
    <w:rsid w:val="00A657F1"/>
    <w:rsid w:val="00A661D4"/>
    <w:rsid w:val="00A669CE"/>
    <w:rsid w:val="00A71438"/>
    <w:rsid w:val="00A71D07"/>
    <w:rsid w:val="00A74CEA"/>
    <w:rsid w:val="00A7548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7EC"/>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0620"/>
    <w:rsid w:val="00B013DC"/>
    <w:rsid w:val="00B02258"/>
    <w:rsid w:val="00B02648"/>
    <w:rsid w:val="00B04B32"/>
    <w:rsid w:val="00B04F87"/>
    <w:rsid w:val="00B0554E"/>
    <w:rsid w:val="00B056C4"/>
    <w:rsid w:val="00B05B2E"/>
    <w:rsid w:val="00B1016D"/>
    <w:rsid w:val="00B11C0C"/>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17C"/>
    <w:rsid w:val="00B30BD9"/>
    <w:rsid w:val="00B314E5"/>
    <w:rsid w:val="00B31DE3"/>
    <w:rsid w:val="00B3203E"/>
    <w:rsid w:val="00B32AE4"/>
    <w:rsid w:val="00B33524"/>
    <w:rsid w:val="00B33585"/>
    <w:rsid w:val="00B33C9E"/>
    <w:rsid w:val="00B34083"/>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5B1E"/>
    <w:rsid w:val="00B6765E"/>
    <w:rsid w:val="00B67DB4"/>
    <w:rsid w:val="00B67F8E"/>
    <w:rsid w:val="00B70F0A"/>
    <w:rsid w:val="00B70F23"/>
    <w:rsid w:val="00B71902"/>
    <w:rsid w:val="00B72163"/>
    <w:rsid w:val="00B72E34"/>
    <w:rsid w:val="00B73662"/>
    <w:rsid w:val="00B74A57"/>
    <w:rsid w:val="00B76176"/>
    <w:rsid w:val="00B76883"/>
    <w:rsid w:val="00B76FC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9D6"/>
    <w:rsid w:val="00B9075C"/>
    <w:rsid w:val="00B91152"/>
    <w:rsid w:val="00B91180"/>
    <w:rsid w:val="00B9169A"/>
    <w:rsid w:val="00B91B5C"/>
    <w:rsid w:val="00B91D07"/>
    <w:rsid w:val="00B92F84"/>
    <w:rsid w:val="00B93ACE"/>
    <w:rsid w:val="00B93B42"/>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116F"/>
    <w:rsid w:val="00BA19EC"/>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301"/>
    <w:rsid w:val="00BC3618"/>
    <w:rsid w:val="00BC3643"/>
    <w:rsid w:val="00BC3F00"/>
    <w:rsid w:val="00BC4277"/>
    <w:rsid w:val="00BC55D5"/>
    <w:rsid w:val="00BC5C1C"/>
    <w:rsid w:val="00BC6853"/>
    <w:rsid w:val="00BC6B1A"/>
    <w:rsid w:val="00BD0FB4"/>
    <w:rsid w:val="00BD2142"/>
    <w:rsid w:val="00BD2371"/>
    <w:rsid w:val="00BD3B76"/>
    <w:rsid w:val="00BD581E"/>
    <w:rsid w:val="00BD5B22"/>
    <w:rsid w:val="00BD5ED2"/>
    <w:rsid w:val="00BD5FA4"/>
    <w:rsid w:val="00BD6032"/>
    <w:rsid w:val="00BD61AC"/>
    <w:rsid w:val="00BD6279"/>
    <w:rsid w:val="00BD702E"/>
    <w:rsid w:val="00BD78D6"/>
    <w:rsid w:val="00BD7E39"/>
    <w:rsid w:val="00BE0BC3"/>
    <w:rsid w:val="00BE24F1"/>
    <w:rsid w:val="00BE2B50"/>
    <w:rsid w:val="00BE2C8B"/>
    <w:rsid w:val="00BE31BA"/>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6E9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C97"/>
    <w:rsid w:val="00C63D8B"/>
    <w:rsid w:val="00C63E03"/>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061"/>
    <w:rsid w:val="00C86F92"/>
    <w:rsid w:val="00C873DD"/>
    <w:rsid w:val="00C9034A"/>
    <w:rsid w:val="00C9043E"/>
    <w:rsid w:val="00C90892"/>
    <w:rsid w:val="00C90A5C"/>
    <w:rsid w:val="00C90F63"/>
    <w:rsid w:val="00C917EF"/>
    <w:rsid w:val="00C92D18"/>
    <w:rsid w:val="00C9338C"/>
    <w:rsid w:val="00C937EC"/>
    <w:rsid w:val="00C9383E"/>
    <w:rsid w:val="00C93EA4"/>
    <w:rsid w:val="00C94638"/>
    <w:rsid w:val="00C94C5A"/>
    <w:rsid w:val="00C95F69"/>
    <w:rsid w:val="00C96951"/>
    <w:rsid w:val="00C96A4A"/>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3B69"/>
    <w:rsid w:val="00CB4720"/>
    <w:rsid w:val="00CB4CB0"/>
    <w:rsid w:val="00CB5DA3"/>
    <w:rsid w:val="00CB62C9"/>
    <w:rsid w:val="00CB7567"/>
    <w:rsid w:val="00CC0764"/>
    <w:rsid w:val="00CC0A3E"/>
    <w:rsid w:val="00CC11DF"/>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4846"/>
    <w:rsid w:val="00CE5131"/>
    <w:rsid w:val="00CE5314"/>
    <w:rsid w:val="00CE5F94"/>
    <w:rsid w:val="00CE7809"/>
    <w:rsid w:val="00CF060F"/>
    <w:rsid w:val="00CF1A01"/>
    <w:rsid w:val="00CF2D5C"/>
    <w:rsid w:val="00CF33EF"/>
    <w:rsid w:val="00CF399C"/>
    <w:rsid w:val="00CF412D"/>
    <w:rsid w:val="00CF4D05"/>
    <w:rsid w:val="00CF61C1"/>
    <w:rsid w:val="00CF6C6A"/>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674"/>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655"/>
    <w:rsid w:val="00D26C0F"/>
    <w:rsid w:val="00D270F9"/>
    <w:rsid w:val="00D27176"/>
    <w:rsid w:val="00D278B0"/>
    <w:rsid w:val="00D3040D"/>
    <w:rsid w:val="00D33280"/>
    <w:rsid w:val="00D34532"/>
    <w:rsid w:val="00D3462D"/>
    <w:rsid w:val="00D34BE3"/>
    <w:rsid w:val="00D34C95"/>
    <w:rsid w:val="00D34EC4"/>
    <w:rsid w:val="00D35884"/>
    <w:rsid w:val="00D358E9"/>
    <w:rsid w:val="00D36382"/>
    <w:rsid w:val="00D37412"/>
    <w:rsid w:val="00D378F7"/>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9F2"/>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ACE"/>
    <w:rsid w:val="00DD0F52"/>
    <w:rsid w:val="00DD11AC"/>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AE5"/>
    <w:rsid w:val="00DE1CD2"/>
    <w:rsid w:val="00DE1F23"/>
    <w:rsid w:val="00DE2410"/>
    <w:rsid w:val="00DE3346"/>
    <w:rsid w:val="00DE3426"/>
    <w:rsid w:val="00DE396A"/>
    <w:rsid w:val="00DE3989"/>
    <w:rsid w:val="00DE3BEF"/>
    <w:rsid w:val="00DE3DF9"/>
    <w:rsid w:val="00DE51BA"/>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0F"/>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4B9"/>
    <w:rsid w:val="00E54C27"/>
    <w:rsid w:val="00E5607F"/>
    <w:rsid w:val="00E56689"/>
    <w:rsid w:val="00E56B28"/>
    <w:rsid w:val="00E56FF2"/>
    <w:rsid w:val="00E57311"/>
    <w:rsid w:val="00E57983"/>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32BF"/>
    <w:rsid w:val="00E9427E"/>
    <w:rsid w:val="00E9434E"/>
    <w:rsid w:val="00E94A4C"/>
    <w:rsid w:val="00E94C7F"/>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4B1F"/>
    <w:rsid w:val="00EA5C68"/>
    <w:rsid w:val="00EA60C8"/>
    <w:rsid w:val="00EB12DC"/>
    <w:rsid w:val="00EB2E2A"/>
    <w:rsid w:val="00EB36A9"/>
    <w:rsid w:val="00EB3956"/>
    <w:rsid w:val="00EB4280"/>
    <w:rsid w:val="00EB459E"/>
    <w:rsid w:val="00EB483C"/>
    <w:rsid w:val="00EB4A48"/>
    <w:rsid w:val="00EB4FC8"/>
    <w:rsid w:val="00EB5D91"/>
    <w:rsid w:val="00EB6239"/>
    <w:rsid w:val="00EB636A"/>
    <w:rsid w:val="00EB6CA5"/>
    <w:rsid w:val="00EB6DB8"/>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307"/>
    <w:rsid w:val="00EE7958"/>
    <w:rsid w:val="00EE7A02"/>
    <w:rsid w:val="00EE7EF7"/>
    <w:rsid w:val="00EF0337"/>
    <w:rsid w:val="00EF06D3"/>
    <w:rsid w:val="00EF06DF"/>
    <w:rsid w:val="00EF0E29"/>
    <w:rsid w:val="00EF20F3"/>
    <w:rsid w:val="00EF2480"/>
    <w:rsid w:val="00EF3427"/>
    <w:rsid w:val="00EF3440"/>
    <w:rsid w:val="00EF3D59"/>
    <w:rsid w:val="00EF3FF4"/>
    <w:rsid w:val="00EF48DC"/>
    <w:rsid w:val="00EF5BBE"/>
    <w:rsid w:val="00EF5EB5"/>
    <w:rsid w:val="00EF65A9"/>
    <w:rsid w:val="00F004AA"/>
    <w:rsid w:val="00F005F6"/>
    <w:rsid w:val="00F01C49"/>
    <w:rsid w:val="00F0233D"/>
    <w:rsid w:val="00F028F8"/>
    <w:rsid w:val="00F03012"/>
    <w:rsid w:val="00F033AA"/>
    <w:rsid w:val="00F03438"/>
    <w:rsid w:val="00F03784"/>
    <w:rsid w:val="00F04309"/>
    <w:rsid w:val="00F04E8C"/>
    <w:rsid w:val="00F04EA3"/>
    <w:rsid w:val="00F06610"/>
    <w:rsid w:val="00F06B1C"/>
    <w:rsid w:val="00F06D8F"/>
    <w:rsid w:val="00F111D8"/>
    <w:rsid w:val="00F113C2"/>
    <w:rsid w:val="00F118D6"/>
    <w:rsid w:val="00F11A09"/>
    <w:rsid w:val="00F11EC4"/>
    <w:rsid w:val="00F13EB4"/>
    <w:rsid w:val="00F14ABE"/>
    <w:rsid w:val="00F1500C"/>
    <w:rsid w:val="00F152CD"/>
    <w:rsid w:val="00F15EE9"/>
    <w:rsid w:val="00F16158"/>
    <w:rsid w:val="00F1684C"/>
    <w:rsid w:val="00F16862"/>
    <w:rsid w:val="00F16D2A"/>
    <w:rsid w:val="00F2043B"/>
    <w:rsid w:val="00F20C9A"/>
    <w:rsid w:val="00F21090"/>
    <w:rsid w:val="00F23494"/>
    <w:rsid w:val="00F23714"/>
    <w:rsid w:val="00F24982"/>
    <w:rsid w:val="00F24CF8"/>
    <w:rsid w:val="00F24FBC"/>
    <w:rsid w:val="00F27B6B"/>
    <w:rsid w:val="00F3104E"/>
    <w:rsid w:val="00F31ECA"/>
    <w:rsid w:val="00F335A8"/>
    <w:rsid w:val="00F33A72"/>
    <w:rsid w:val="00F34055"/>
    <w:rsid w:val="00F358F9"/>
    <w:rsid w:val="00F35D1B"/>
    <w:rsid w:val="00F3759B"/>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330"/>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3DF2"/>
    <w:rsid w:val="00F74CA9"/>
    <w:rsid w:val="00F754B1"/>
    <w:rsid w:val="00F767CE"/>
    <w:rsid w:val="00F767EB"/>
    <w:rsid w:val="00F76D51"/>
    <w:rsid w:val="00F76F49"/>
    <w:rsid w:val="00F80FC0"/>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38C6"/>
    <w:rsid w:val="00FE4C6D"/>
    <w:rsid w:val="00FE64D8"/>
    <w:rsid w:val="00FE6559"/>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E76B29"/>
    <w:pPr>
      <w:spacing w:before="180"/>
      <w:ind w:left="2693" w:hanging="2693"/>
    </w:pPr>
    <w:rPr>
      <w:b/>
    </w:rPr>
  </w:style>
  <w:style w:type="paragraph" w:styleId="1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E76B29"/>
    <w:pPr>
      <w:ind w:left="1701" w:hanging="1701"/>
    </w:pPr>
  </w:style>
  <w:style w:type="paragraph" w:styleId="41">
    <w:name w:val="toc 4"/>
    <w:basedOn w:val="31"/>
    <w:semiHidden/>
    <w:rsid w:val="00E76B29"/>
    <w:pPr>
      <w:ind w:left="1418" w:hanging="1418"/>
    </w:pPr>
  </w:style>
  <w:style w:type="paragraph" w:styleId="31">
    <w:name w:val="toc 3"/>
    <w:basedOn w:val="21"/>
    <w:semiHidden/>
    <w:rsid w:val="00E76B29"/>
    <w:pPr>
      <w:ind w:left="1134" w:hanging="1134"/>
    </w:pPr>
  </w:style>
  <w:style w:type="paragraph" w:styleId="21">
    <w:name w:val="toc 2"/>
    <w:basedOn w:val="11"/>
    <w:semiHidden/>
    <w:rsid w:val="00E76B29"/>
    <w:pPr>
      <w:keepNext w:val="0"/>
      <w:spacing w:before="0"/>
      <w:ind w:left="851" w:hanging="851"/>
    </w:pPr>
    <w:rPr>
      <w:sz w:val="20"/>
    </w:rPr>
  </w:style>
  <w:style w:type="paragraph" w:styleId="22">
    <w:name w:val="index 2"/>
    <w:basedOn w:val="12"/>
    <w:semiHidden/>
    <w:rsid w:val="00E76B29"/>
    <w:pPr>
      <w:ind w:left="284"/>
    </w:pPr>
  </w:style>
  <w:style w:type="paragraph" w:styleId="12">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91">
    <w:name w:val="toc 9"/>
    <w:basedOn w:val="81"/>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semiHidden/>
    <w:rsid w:val="00E76B29"/>
    <w:pPr>
      <w:ind w:left="1985" w:hanging="1985"/>
    </w:pPr>
  </w:style>
  <w:style w:type="paragraph" w:styleId="71">
    <w:name w:val="toc 7"/>
    <w:basedOn w:val="61"/>
    <w:next w:val="a"/>
    <w:semiHidden/>
    <w:rsid w:val="00E76B29"/>
    <w:pPr>
      <w:ind w:left="2268" w:hanging="2268"/>
    </w:pPr>
  </w:style>
  <w:style w:type="paragraph" w:styleId="24">
    <w:name w:val="List Bullet 2"/>
    <w:basedOn w:val="af6"/>
    <w:semiHidden/>
    <w:rsid w:val="00E76B29"/>
    <w:pPr>
      <w:ind w:left="851"/>
    </w:pPr>
  </w:style>
  <w:style w:type="paragraph" w:styleId="32">
    <w:name w:val="List Bullet 3"/>
    <w:basedOn w:val="24"/>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E76B29"/>
    <w:pPr>
      <w:ind w:left="1135"/>
    </w:pPr>
  </w:style>
  <w:style w:type="paragraph" w:styleId="42">
    <w:name w:val="List 4"/>
    <w:basedOn w:val="33"/>
    <w:semiHidden/>
    <w:rsid w:val="00E76B29"/>
    <w:pPr>
      <w:ind w:left="1418"/>
    </w:pPr>
  </w:style>
  <w:style w:type="paragraph" w:styleId="52">
    <w:name w:val="List 5"/>
    <w:basedOn w:val="42"/>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3">
    <w:name w:val="List Bullet 4"/>
    <w:basedOn w:val="32"/>
    <w:semiHidden/>
    <w:rsid w:val="00E76B29"/>
    <w:pPr>
      <w:ind w:left="1418"/>
    </w:pPr>
  </w:style>
  <w:style w:type="paragraph" w:styleId="53">
    <w:name w:val="List Bullet 5"/>
    <w:basedOn w:val="43"/>
    <w:semiHidden/>
    <w:rsid w:val="00E76B29"/>
    <w:pPr>
      <w:ind w:left="1702"/>
    </w:pPr>
  </w:style>
  <w:style w:type="paragraph" w:customStyle="1" w:styleId="B1">
    <w:name w:val="B1"/>
    <w:basedOn w:val="af7"/>
    <w:link w:val="B1Char"/>
    <w:qFormat/>
    <w:rsid w:val="00E76B29"/>
  </w:style>
  <w:style w:type="paragraph" w:customStyle="1" w:styleId="B2">
    <w:name w:val="B2"/>
    <w:basedOn w:val="25"/>
    <w:rsid w:val="00E76B29"/>
  </w:style>
  <w:style w:type="paragraph" w:customStyle="1" w:styleId="B3">
    <w:name w:val="B3"/>
    <w:basedOn w:val="33"/>
    <w:qFormat/>
    <w:rsid w:val="00E76B29"/>
  </w:style>
  <w:style w:type="paragraph" w:customStyle="1" w:styleId="B4">
    <w:name w:val="B4"/>
    <w:basedOn w:val="42"/>
    <w:rsid w:val="00E76B29"/>
  </w:style>
  <w:style w:type="paragraph" w:customStyle="1" w:styleId="B5">
    <w:name w:val="B5"/>
    <w:basedOn w:val="52"/>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62327945">
      <w:bodyDiv w:val="1"/>
      <w:marLeft w:val="0"/>
      <w:marRight w:val="0"/>
      <w:marTop w:val="0"/>
      <w:marBottom w:val="0"/>
      <w:divBdr>
        <w:top w:val="none" w:sz="0" w:space="0" w:color="auto"/>
        <w:left w:val="none" w:sz="0" w:space="0" w:color="auto"/>
        <w:bottom w:val="none" w:sz="0" w:space="0" w:color="auto"/>
        <w:right w:val="none" w:sz="0" w:space="0" w:color="auto"/>
      </w:divBdr>
      <w:divsChild>
        <w:div w:id="1112482129">
          <w:marLeft w:val="0"/>
          <w:marRight w:val="0"/>
          <w:marTop w:val="0"/>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89942824">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98637319">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F7327-C249-43DA-84FC-6C6731D94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2498</TotalTime>
  <Pages>5</Pages>
  <Words>1774</Words>
  <Characters>10116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CATT-ZP</cp:lastModifiedBy>
  <cp:revision>211</cp:revision>
  <dcterms:created xsi:type="dcterms:W3CDTF">2025-04-29T07:14:00Z</dcterms:created>
  <dcterms:modified xsi:type="dcterms:W3CDTF">2025-10-02T05:33:00Z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